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2F" w:rsidRPr="000A769A" w:rsidRDefault="009F739F">
      <w:pPr>
        <w:rPr>
          <w:b/>
          <w:u w:val="single"/>
        </w:rPr>
      </w:pPr>
      <w:r>
        <w:rPr>
          <w:b/>
          <w:u w:val="single"/>
        </w:rPr>
        <w:t xml:space="preserve">Accessing </w:t>
      </w:r>
      <w:r w:rsidR="00B81B2F" w:rsidRPr="000A769A">
        <w:rPr>
          <w:b/>
          <w:u w:val="single"/>
        </w:rPr>
        <w:t xml:space="preserve">Class Rosters </w:t>
      </w:r>
    </w:p>
    <w:p w:rsidR="00B81B2F" w:rsidRDefault="00B81B2F">
      <w:r>
        <w:t xml:space="preserve"> </w:t>
      </w:r>
      <w:proofErr w:type="gramStart"/>
      <w:r>
        <w:t>Questions?</w:t>
      </w:r>
      <w:proofErr w:type="gramEnd"/>
      <w:r>
        <w:t xml:space="preserve"> Call Registrar at 776.2107, email </w:t>
      </w:r>
      <w:hyperlink r:id="rId6" w:history="1">
        <w:r w:rsidRPr="00536D46">
          <w:rPr>
            <w:rStyle w:val="Hyperlink"/>
          </w:rPr>
          <w:t>registrar@yc.edu</w:t>
        </w:r>
      </w:hyperlink>
      <w:r>
        <w:t xml:space="preserve"> or visit 1-1</w:t>
      </w:r>
      <w:r w:rsidR="00D6267E">
        <w:t>11</w:t>
      </w:r>
    </w:p>
    <w:p w:rsidR="0089457E" w:rsidRPr="008E7EB1" w:rsidRDefault="008E7EB1" w:rsidP="008E7EB1">
      <w:pPr>
        <w:spacing w:after="0"/>
        <w:rPr>
          <w:b/>
        </w:rPr>
      </w:pPr>
      <w:r w:rsidRPr="008E7EB1">
        <w:rPr>
          <w:b/>
        </w:rPr>
        <w:t>Accessing class rosters:</w:t>
      </w:r>
    </w:p>
    <w:p w:rsidR="008E7EB1" w:rsidRDefault="008E7EB1" w:rsidP="008E7EB1">
      <w:pPr>
        <w:spacing w:after="0"/>
      </w:pPr>
      <w:r>
        <w:t xml:space="preserve">Login at </w:t>
      </w:r>
      <w:hyperlink r:id="rId7" w:history="1">
        <w:r w:rsidRPr="00536D46">
          <w:rPr>
            <w:rStyle w:val="Hyperlink"/>
          </w:rPr>
          <w:t>www.yc.edu</w:t>
        </w:r>
      </w:hyperlink>
    </w:p>
    <w:p w:rsidR="008E7EB1" w:rsidRDefault="008E7EB1" w:rsidP="008E7EB1">
      <w:pPr>
        <w:spacing w:after="0"/>
      </w:pPr>
      <w:r>
        <w:t>Go to My Services, Faculty, My Class Roster</w:t>
      </w:r>
    </w:p>
    <w:p w:rsidR="008E7EB1" w:rsidRDefault="008E7EB1" w:rsidP="008E7EB1">
      <w:pPr>
        <w:spacing w:after="0"/>
      </w:pPr>
    </w:p>
    <w:p w:rsidR="008E7EB1" w:rsidRDefault="008E7EB1">
      <w:r>
        <w:rPr>
          <w:noProof/>
        </w:rPr>
        <w:drawing>
          <wp:inline distT="0" distB="0" distL="0" distR="0" wp14:anchorId="04C5A9FB" wp14:editId="3AC7C919">
            <wp:extent cx="2980953" cy="83809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0953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7EB1" w:rsidRDefault="008E7EB1">
      <w:r>
        <w:rPr>
          <w:noProof/>
        </w:rPr>
        <w:drawing>
          <wp:inline distT="0" distB="0" distL="0" distR="0" wp14:anchorId="1F16EA2A" wp14:editId="301DB475">
            <wp:extent cx="5600000" cy="3542857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0000" cy="3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67E" w:rsidRDefault="00D6267E" w:rsidP="00D6267E">
      <w:r>
        <w:t xml:space="preserve">Rosters accessed via </w:t>
      </w:r>
      <w:hyperlink r:id="rId10" w:history="1">
        <w:r w:rsidRPr="00536D46">
          <w:rPr>
            <w:rStyle w:val="Hyperlink"/>
          </w:rPr>
          <w:t>www.yc.edu</w:t>
        </w:r>
      </w:hyperlink>
      <w:r>
        <w:t xml:space="preserve"> show real time enrollment.  Enrollment shifts during the first week of the semester as students drop and add. Please check your rosters as often as needed to verify enrollment. </w:t>
      </w:r>
      <w:r w:rsidRPr="000A769A">
        <w:t>After the first week, it is advisable to</w:t>
      </w:r>
      <w:r w:rsidRPr="000A769A">
        <w:rPr>
          <w:i/>
        </w:rPr>
        <w:t xml:space="preserve"> check your roster online weekly</w:t>
      </w:r>
      <w:r>
        <w:t>, so that you know which students have withdrawn. Students who have quit attending but still appear on the roster should be withdrawn by the instructor.</w:t>
      </w:r>
    </w:p>
    <w:p w:rsidR="00D6267E" w:rsidRPr="008E7EB1" w:rsidRDefault="00D6267E" w:rsidP="00D6267E">
      <w:pPr>
        <w:spacing w:before="120" w:after="0"/>
        <w:rPr>
          <w:b/>
          <w:sz w:val="24"/>
          <w:szCs w:val="24"/>
        </w:rPr>
      </w:pPr>
      <w:r w:rsidRPr="008E7EB1">
        <w:rPr>
          <w:b/>
          <w:sz w:val="24"/>
          <w:szCs w:val="24"/>
        </w:rPr>
        <w:t>Withdrawing students</w:t>
      </w:r>
      <w:r>
        <w:rPr>
          <w:b/>
          <w:sz w:val="24"/>
          <w:szCs w:val="24"/>
        </w:rPr>
        <w:t>:</w:t>
      </w:r>
    </w:p>
    <w:p w:rsidR="00D6267E" w:rsidRDefault="00D6267E" w:rsidP="00D6267E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Withdraw students who have stopped participating:  </w:t>
      </w:r>
      <w:hyperlink r:id="rId11" w:history="1">
        <w:r w:rsidRPr="00200ADF">
          <w:rPr>
            <w:rStyle w:val="Hyperlink"/>
            <w:sz w:val="24"/>
            <w:szCs w:val="24"/>
          </w:rPr>
          <w:t>enrollmentservices@yc.edu</w:t>
        </w:r>
      </w:hyperlink>
      <w:r>
        <w:rPr>
          <w:sz w:val="24"/>
          <w:szCs w:val="24"/>
        </w:rPr>
        <w:t>.</w:t>
      </w:r>
    </w:p>
    <w:p w:rsidR="00D6267E" w:rsidRDefault="00D6267E" w:rsidP="00D6267E">
      <w:pPr>
        <w:pStyle w:val="ListParagraph"/>
        <w:numPr>
          <w:ilvl w:val="0"/>
          <w:numId w:val="1"/>
        </w:numPr>
        <w:ind w:left="360" w:firstLine="0"/>
        <w:rPr>
          <w:sz w:val="24"/>
          <w:szCs w:val="24"/>
        </w:rPr>
      </w:pPr>
      <w:r w:rsidRPr="00634AC9">
        <w:rPr>
          <w:sz w:val="24"/>
          <w:szCs w:val="24"/>
        </w:rPr>
        <w:t xml:space="preserve">Include the </w:t>
      </w:r>
      <w:r w:rsidRPr="007F2EBE">
        <w:rPr>
          <w:b/>
          <w:i/>
          <w:sz w:val="24"/>
          <w:szCs w:val="24"/>
        </w:rPr>
        <w:t>CRN</w:t>
      </w:r>
      <w:r w:rsidRPr="00634AC9">
        <w:rPr>
          <w:sz w:val="24"/>
          <w:szCs w:val="24"/>
        </w:rPr>
        <w:t xml:space="preserve"> of the course, student name(s) and </w:t>
      </w:r>
      <w:proofErr w:type="spellStart"/>
      <w:r w:rsidRPr="007F2EBE">
        <w:rPr>
          <w:b/>
          <w:i/>
          <w:sz w:val="24"/>
          <w:szCs w:val="24"/>
        </w:rPr>
        <w:t>Ynumber</w:t>
      </w:r>
      <w:proofErr w:type="spellEnd"/>
      <w:r w:rsidRPr="00634AC9">
        <w:rPr>
          <w:b/>
          <w:sz w:val="24"/>
          <w:szCs w:val="24"/>
        </w:rPr>
        <w:t xml:space="preserve"> </w:t>
      </w:r>
      <w:r w:rsidRPr="00634AC9">
        <w:rPr>
          <w:sz w:val="24"/>
          <w:szCs w:val="24"/>
        </w:rPr>
        <w:t xml:space="preserve">and </w:t>
      </w:r>
      <w:r w:rsidRPr="007F2EBE">
        <w:rPr>
          <w:b/>
          <w:i/>
          <w:sz w:val="24"/>
          <w:szCs w:val="24"/>
        </w:rPr>
        <w:t>last</w:t>
      </w:r>
      <w:r w:rsidRPr="00386FDC">
        <w:rPr>
          <w:b/>
          <w:sz w:val="24"/>
          <w:szCs w:val="24"/>
        </w:rPr>
        <w:t xml:space="preserve"> </w:t>
      </w:r>
      <w:r w:rsidRPr="007F2EBE">
        <w:rPr>
          <w:b/>
          <w:i/>
          <w:sz w:val="24"/>
          <w:szCs w:val="24"/>
        </w:rPr>
        <w:t>date</w:t>
      </w:r>
      <w:r w:rsidRPr="00634AC9">
        <w:rPr>
          <w:sz w:val="24"/>
          <w:szCs w:val="24"/>
        </w:rPr>
        <w:t xml:space="preserve"> of participation.</w:t>
      </w:r>
    </w:p>
    <w:p w:rsidR="00D6267E" w:rsidRPr="008E7EB1" w:rsidRDefault="00D6267E" w:rsidP="00D6267E">
      <w:pPr>
        <w:ind w:left="360"/>
        <w:rPr>
          <w:sz w:val="24"/>
          <w:szCs w:val="24"/>
        </w:rPr>
      </w:pPr>
    </w:p>
    <w:p w:rsidR="00F41102" w:rsidRPr="00F41102" w:rsidRDefault="00F41102" w:rsidP="00F41102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 w:rsidRPr="00F41102">
        <w:rPr>
          <w:rFonts w:ascii="Calibri" w:hAnsi="Calibri" w:cs="Times New Roman"/>
          <w:b/>
          <w:sz w:val="28"/>
          <w:szCs w:val="28"/>
        </w:rPr>
        <w:lastRenderedPageBreak/>
        <w:t>Confidentiality of Student Education Records</w:t>
      </w:r>
    </w:p>
    <w:p w:rsidR="00F41102" w:rsidRPr="00F41102" w:rsidRDefault="00F41102" w:rsidP="00F41102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</w:p>
    <w:p w:rsidR="00F41102" w:rsidRPr="00F41102" w:rsidRDefault="00F41102" w:rsidP="00F41102">
      <w:pPr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 w:rsidRPr="00F41102">
        <w:rPr>
          <w:rFonts w:ascii="Calibri" w:hAnsi="Calibri" w:cs="Times New Roman"/>
          <w:b/>
          <w:sz w:val="28"/>
          <w:szCs w:val="28"/>
        </w:rPr>
        <w:t xml:space="preserve">FERPA </w:t>
      </w:r>
      <w:r w:rsidRPr="00F41102">
        <w:rPr>
          <w:rFonts w:ascii="Calibri" w:hAnsi="Calibri" w:cs="Times New Roman"/>
        </w:rPr>
        <w:t>(</w:t>
      </w:r>
      <w:r w:rsidRPr="00F41102">
        <w:rPr>
          <w:rFonts w:ascii="Arial" w:hAnsi="Arial" w:cs="Arial"/>
        </w:rPr>
        <w:t>Family Educational Rights and Privacy Act of 1974)</w:t>
      </w:r>
      <w:r w:rsidRPr="00F41102">
        <w:rPr>
          <w:rFonts w:ascii="Arial" w:hAnsi="Arial" w:cs="Arial"/>
          <w:sz w:val="20"/>
          <w:szCs w:val="20"/>
        </w:rPr>
        <w:t xml:space="preserve"> </w:t>
      </w:r>
    </w:p>
    <w:p w:rsidR="00F41102" w:rsidRPr="00F41102" w:rsidRDefault="00F41102" w:rsidP="00F41102">
      <w:pPr>
        <w:spacing w:after="0" w:line="240" w:lineRule="auto"/>
        <w:jc w:val="center"/>
        <w:rPr>
          <w:rFonts w:ascii="Calibri" w:hAnsi="Calibri" w:cs="Times New Roman"/>
          <w:sz w:val="28"/>
          <w:szCs w:val="28"/>
        </w:rPr>
      </w:pPr>
    </w:p>
    <w:p w:rsidR="00F41102" w:rsidRPr="00F41102" w:rsidRDefault="00F41102" w:rsidP="00F41102">
      <w:pPr>
        <w:spacing w:after="0" w:line="240" w:lineRule="auto"/>
        <w:rPr>
          <w:rFonts w:ascii="Calibri" w:hAnsi="Calibri" w:cs="Times New Roman"/>
          <w:b/>
        </w:rPr>
      </w:pPr>
      <w:r w:rsidRPr="00F41102">
        <w:rPr>
          <w:rFonts w:ascii="Calibri" w:hAnsi="Calibri" w:cs="Times New Roman"/>
          <w:b/>
        </w:rPr>
        <w:t xml:space="preserve">How does FERPA apply to </w:t>
      </w:r>
      <w:r w:rsidRPr="00F41102">
        <w:rPr>
          <w:rFonts w:ascii="Calibri" w:hAnsi="Calibri" w:cs="Times New Roman"/>
          <w:b/>
          <w:i/>
        </w:rPr>
        <w:t>Yavapai College records</w:t>
      </w:r>
      <w:r w:rsidRPr="00F41102">
        <w:rPr>
          <w:rFonts w:ascii="Calibri" w:hAnsi="Calibri" w:cs="Times New Roman"/>
          <w:b/>
        </w:rPr>
        <w:t xml:space="preserve"> of Dual Enrollment or JTED students?</w:t>
      </w:r>
    </w:p>
    <w:p w:rsidR="00F41102" w:rsidRPr="00F41102" w:rsidRDefault="00F41102" w:rsidP="00F41102">
      <w:pPr>
        <w:spacing w:after="0" w:line="240" w:lineRule="auto"/>
        <w:rPr>
          <w:rFonts w:ascii="Calibri" w:hAnsi="Calibri" w:cs="Times New Roman"/>
          <w:b/>
        </w:rPr>
      </w:pPr>
    </w:p>
    <w:p w:rsidR="00F41102" w:rsidRPr="00F41102" w:rsidRDefault="00F41102" w:rsidP="00F41102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 w:cs="Times New Roman"/>
        </w:rPr>
      </w:pPr>
      <w:r w:rsidRPr="00F41102">
        <w:rPr>
          <w:rFonts w:ascii="Calibri" w:hAnsi="Calibri" w:cs="Times New Roman"/>
        </w:rPr>
        <w:t xml:space="preserve">Dual Enrollment or JTED student education records should be treated as any other student education record at Yavapai College. </w:t>
      </w:r>
    </w:p>
    <w:p w:rsidR="00F41102" w:rsidRPr="00F41102" w:rsidRDefault="00F41102" w:rsidP="00F41102">
      <w:pPr>
        <w:spacing w:after="0" w:line="240" w:lineRule="auto"/>
        <w:rPr>
          <w:rFonts w:ascii="Calibri" w:hAnsi="Calibri" w:cs="Times New Roman"/>
        </w:rPr>
      </w:pPr>
    </w:p>
    <w:p w:rsidR="00F41102" w:rsidRPr="00F41102" w:rsidRDefault="00F41102" w:rsidP="00F41102">
      <w:pPr>
        <w:numPr>
          <w:ilvl w:val="0"/>
          <w:numId w:val="2"/>
        </w:numPr>
        <w:spacing w:after="0" w:line="240" w:lineRule="auto"/>
        <w:contextualSpacing/>
        <w:rPr>
          <w:rFonts w:ascii="Calibri" w:hAnsi="Calibri" w:cs="Times New Roman"/>
        </w:rPr>
      </w:pPr>
      <w:r w:rsidRPr="00F41102">
        <w:rPr>
          <w:rFonts w:ascii="Calibri" w:hAnsi="Calibri" w:cs="Times New Roman"/>
        </w:rPr>
        <w:t xml:space="preserve">The student is enrolled in a post-secondary institution by enrolling in a Yavapai College course, so </w:t>
      </w:r>
      <w:r w:rsidRPr="00F41102">
        <w:rPr>
          <w:rFonts w:ascii="Calibri" w:hAnsi="Calibri" w:cs="Times New Roman"/>
          <w:i/>
          <w:iCs/>
        </w:rPr>
        <w:t>FERPA rights have transferred to the student</w:t>
      </w:r>
      <w:r w:rsidRPr="00F41102">
        <w:rPr>
          <w:rFonts w:ascii="Calibri" w:hAnsi="Calibri" w:cs="Times New Roman"/>
        </w:rPr>
        <w:t>.</w:t>
      </w:r>
    </w:p>
    <w:p w:rsidR="00F41102" w:rsidRPr="00F41102" w:rsidRDefault="00F41102" w:rsidP="00F41102">
      <w:pPr>
        <w:spacing w:after="0" w:line="240" w:lineRule="auto"/>
        <w:rPr>
          <w:rFonts w:ascii="Calibri" w:hAnsi="Calibri" w:cs="Times New Roman"/>
        </w:rPr>
      </w:pPr>
    </w:p>
    <w:p w:rsidR="00F41102" w:rsidRPr="00F41102" w:rsidRDefault="00F41102" w:rsidP="00F41102">
      <w:pPr>
        <w:shd w:val="clear" w:color="auto" w:fill="DDD9C3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F41102">
        <w:rPr>
          <w:rFonts w:ascii="Calibri" w:hAnsi="Calibri" w:cs="Times New Roman"/>
          <w:sz w:val="24"/>
          <w:szCs w:val="24"/>
        </w:rPr>
        <w:t>Yavapai College faculty and staff may NOT discuss dual enrollment education records with the parent - or other third party - unless the student has provided written consent. </w:t>
      </w:r>
    </w:p>
    <w:p w:rsidR="00F41102" w:rsidRPr="00F41102" w:rsidRDefault="00F41102" w:rsidP="00F41102">
      <w:pPr>
        <w:spacing w:after="0" w:line="240" w:lineRule="auto"/>
        <w:rPr>
          <w:rFonts w:ascii="Calibri" w:hAnsi="Calibri" w:cs="Times New Roman"/>
        </w:rPr>
      </w:pPr>
    </w:p>
    <w:p w:rsidR="00F41102" w:rsidRPr="00F41102" w:rsidRDefault="00F41102" w:rsidP="00F41102">
      <w:pPr>
        <w:rPr>
          <w:rFonts w:ascii="Calibri" w:hAnsi="Calibri" w:cs="Times New Roman"/>
        </w:rPr>
      </w:pPr>
    </w:p>
    <w:p w:rsidR="00F41102" w:rsidRPr="00F41102" w:rsidRDefault="00F41102" w:rsidP="00F41102">
      <w:pPr>
        <w:rPr>
          <w:rFonts w:ascii="Calibri" w:hAnsi="Calibri" w:cs="Times New Roman"/>
        </w:rPr>
      </w:pPr>
      <w:r w:rsidRPr="00F41102">
        <w:rPr>
          <w:rFonts w:ascii="Calibri" w:hAnsi="Calibri" w:cs="Times New Roman"/>
          <w:b/>
        </w:rPr>
        <w:t>“Confidentiality</w:t>
      </w:r>
      <w:r w:rsidRPr="00F41102">
        <w:rPr>
          <w:rFonts w:ascii="Calibri" w:hAnsi="Calibri" w:cs="Times New Roman"/>
        </w:rPr>
        <w:t>” if noted beside student name on your roster means that this person cannot be referred to as a student to a third party!</w:t>
      </w:r>
    </w:p>
    <w:p w:rsidR="00F41102" w:rsidRDefault="00F41102" w:rsidP="00F41102">
      <w:pPr>
        <w:spacing w:after="0" w:line="240" w:lineRule="auto"/>
        <w:rPr>
          <w:rFonts w:ascii="Calibri" w:hAnsi="Calibri" w:cs="Times New Roman"/>
        </w:rPr>
      </w:pPr>
    </w:p>
    <w:p w:rsidR="00AA42EE" w:rsidRDefault="00AA42EE" w:rsidP="00F41102">
      <w:pPr>
        <w:spacing w:after="0" w:line="240" w:lineRule="auto"/>
        <w:rPr>
          <w:rFonts w:ascii="Calibri" w:hAnsi="Calibri" w:cs="Times New Roman"/>
        </w:rPr>
      </w:pPr>
    </w:p>
    <w:p w:rsidR="00AA42EE" w:rsidRDefault="00AA42EE" w:rsidP="00F41102">
      <w:pPr>
        <w:spacing w:after="0" w:line="240" w:lineRule="auto"/>
        <w:rPr>
          <w:rFonts w:ascii="Calibri" w:hAnsi="Calibri" w:cs="Times New Roman"/>
        </w:rPr>
      </w:pPr>
    </w:p>
    <w:p w:rsidR="00AA42EE" w:rsidRDefault="00AA42EE" w:rsidP="00F41102">
      <w:pPr>
        <w:spacing w:after="0" w:line="240" w:lineRule="auto"/>
        <w:rPr>
          <w:rFonts w:ascii="Calibri" w:hAnsi="Calibri" w:cs="Times New Roman"/>
        </w:rPr>
      </w:pPr>
    </w:p>
    <w:p w:rsidR="00AA42EE" w:rsidRDefault="00AA42EE" w:rsidP="00F41102">
      <w:pPr>
        <w:spacing w:after="0" w:line="240" w:lineRule="auto"/>
        <w:rPr>
          <w:rFonts w:ascii="Calibri" w:hAnsi="Calibri" w:cs="Times New Roman"/>
        </w:rPr>
      </w:pPr>
    </w:p>
    <w:p w:rsidR="00AA42EE" w:rsidRPr="00F41102" w:rsidRDefault="00AA42EE" w:rsidP="00F41102">
      <w:pPr>
        <w:spacing w:after="0" w:line="240" w:lineRule="auto"/>
        <w:rPr>
          <w:rFonts w:ascii="Calibri" w:hAnsi="Calibri" w:cs="Times New Roman"/>
        </w:rPr>
      </w:pPr>
      <w:bookmarkStart w:id="0" w:name="_GoBack"/>
      <w:bookmarkEnd w:id="0"/>
    </w:p>
    <w:p w:rsidR="00AA42EE" w:rsidRPr="00AA42EE" w:rsidRDefault="00AA42EE" w:rsidP="00AA42EE">
      <w:pPr>
        <w:rPr>
          <w:b/>
          <w:sz w:val="28"/>
          <w:szCs w:val="28"/>
        </w:rPr>
      </w:pPr>
      <w:r w:rsidRPr="00AA42EE">
        <w:rPr>
          <w:b/>
          <w:sz w:val="28"/>
          <w:szCs w:val="28"/>
        </w:rPr>
        <w:t>Class start/end dates:</w:t>
      </w:r>
    </w:p>
    <w:p w:rsidR="00AA42EE" w:rsidRPr="00AA42EE" w:rsidRDefault="00AA42EE" w:rsidP="00AA42EE">
      <w:pPr>
        <w:numPr>
          <w:ilvl w:val="0"/>
          <w:numId w:val="3"/>
        </w:numPr>
        <w:contextualSpacing/>
        <w:rPr>
          <w:sz w:val="24"/>
          <w:szCs w:val="24"/>
        </w:rPr>
      </w:pPr>
      <w:r w:rsidRPr="00AA42EE">
        <w:rPr>
          <w:sz w:val="24"/>
          <w:szCs w:val="24"/>
        </w:rPr>
        <w:t>Class start/end dates will display at the top of each roster!</w:t>
      </w:r>
    </w:p>
    <w:p w:rsidR="00AA42EE" w:rsidRPr="00AA42EE" w:rsidRDefault="00AA42EE" w:rsidP="00AA42EE">
      <w:pPr>
        <w:numPr>
          <w:ilvl w:val="0"/>
          <w:numId w:val="3"/>
        </w:numPr>
        <w:contextualSpacing/>
        <w:rPr>
          <w:sz w:val="24"/>
          <w:szCs w:val="24"/>
        </w:rPr>
      </w:pPr>
      <w:r w:rsidRPr="00AA42EE">
        <w:rPr>
          <w:sz w:val="24"/>
          <w:szCs w:val="24"/>
        </w:rPr>
        <w:t>Dual Enrollment starts early/ends late, to coincide with high school semesters.</w:t>
      </w:r>
    </w:p>
    <w:p w:rsidR="00AA42EE" w:rsidRPr="00AA42EE" w:rsidRDefault="00AA42EE" w:rsidP="00AA42EE">
      <w:pPr>
        <w:numPr>
          <w:ilvl w:val="0"/>
          <w:numId w:val="3"/>
        </w:numPr>
        <w:contextualSpacing/>
        <w:rPr>
          <w:sz w:val="24"/>
          <w:szCs w:val="24"/>
        </w:rPr>
      </w:pPr>
      <w:r w:rsidRPr="00AA42EE">
        <w:rPr>
          <w:sz w:val="24"/>
          <w:szCs w:val="24"/>
        </w:rPr>
        <w:t>JTED classes follow Yavapai College semester dates.</w:t>
      </w:r>
    </w:p>
    <w:p w:rsidR="00AA42EE" w:rsidRPr="00AA42EE" w:rsidRDefault="00AA42EE" w:rsidP="00AA42EE">
      <w:pPr>
        <w:numPr>
          <w:ilvl w:val="0"/>
          <w:numId w:val="3"/>
        </w:numPr>
        <w:contextualSpacing/>
        <w:rPr>
          <w:sz w:val="24"/>
          <w:szCs w:val="24"/>
        </w:rPr>
      </w:pPr>
      <w:r w:rsidRPr="00AA42EE">
        <w:rPr>
          <w:sz w:val="24"/>
          <w:szCs w:val="24"/>
        </w:rPr>
        <w:t>A few classes span both the Fall/Spring semesters.</w:t>
      </w:r>
    </w:p>
    <w:p w:rsidR="00AA42EE" w:rsidRPr="00AA42EE" w:rsidRDefault="00AA42EE" w:rsidP="00AA42EE">
      <w:pPr>
        <w:rPr>
          <w:sz w:val="24"/>
          <w:szCs w:val="24"/>
        </w:rPr>
      </w:pPr>
    </w:p>
    <w:p w:rsidR="00D6267E" w:rsidRDefault="00AA42EE">
      <w:r w:rsidRPr="00AA42EE">
        <w:rPr>
          <w:noProof/>
        </w:rPr>
        <w:drawing>
          <wp:inline distT="0" distB="0" distL="0" distR="0" wp14:anchorId="09564121" wp14:editId="4D0D3F04">
            <wp:extent cx="3152381" cy="971429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52381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3EB"/>
    <w:multiLevelType w:val="hybridMultilevel"/>
    <w:tmpl w:val="0F102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D6343"/>
    <w:multiLevelType w:val="hybridMultilevel"/>
    <w:tmpl w:val="98D8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46AFE"/>
    <w:multiLevelType w:val="hybridMultilevel"/>
    <w:tmpl w:val="86B66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B1"/>
    <w:rsid w:val="00016937"/>
    <w:rsid w:val="000A769A"/>
    <w:rsid w:val="00134A19"/>
    <w:rsid w:val="008E7EB1"/>
    <w:rsid w:val="009F739F"/>
    <w:rsid w:val="00A9795C"/>
    <w:rsid w:val="00AA42EE"/>
    <w:rsid w:val="00B81B2F"/>
    <w:rsid w:val="00D6267E"/>
    <w:rsid w:val="00DE3DB3"/>
    <w:rsid w:val="00F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E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EB1"/>
    <w:pPr>
      <w:spacing w:after="0" w:line="240" w:lineRule="auto"/>
      <w:ind w:left="720"/>
    </w:pPr>
    <w:rPr>
      <w:rFonts w:ascii="Calibri" w:eastAsiaTheme="minorEastAsia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7E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EB1"/>
    <w:pPr>
      <w:spacing w:after="0" w:line="240" w:lineRule="auto"/>
      <w:ind w:left="720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c.ed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r@yc.edu" TargetMode="External"/><Relationship Id="rId11" Type="http://schemas.openxmlformats.org/officeDocument/2006/relationships/hyperlink" Target="mailto:enrollmentservices@yc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Jarrell, Sheila</dc:creator>
  <cp:lastModifiedBy>Holbrook, Dean</cp:lastModifiedBy>
  <cp:revision>3</cp:revision>
  <cp:lastPrinted>2015-05-09T16:17:00Z</cp:lastPrinted>
  <dcterms:created xsi:type="dcterms:W3CDTF">2015-05-11T23:16:00Z</dcterms:created>
  <dcterms:modified xsi:type="dcterms:W3CDTF">2015-05-11T23:20:00Z</dcterms:modified>
</cp:coreProperties>
</file>