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A5590" w14:textId="77777777" w:rsidR="0002321C" w:rsidRPr="009563A0" w:rsidRDefault="00193AEA" w:rsidP="00E833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9563A0">
        <w:rPr>
          <w:rFonts w:ascii="Times New Roman" w:hAnsi="Times New Roman" w:cs="Times New Roman"/>
          <w:b/>
          <w:sz w:val="32"/>
          <w:szCs w:val="28"/>
        </w:rPr>
        <w:t>Strategic Planning Committee</w:t>
      </w:r>
      <w:r w:rsidR="00850C99" w:rsidRPr="009563A0">
        <w:rPr>
          <w:rFonts w:ascii="Times New Roman" w:hAnsi="Times New Roman" w:cs="Times New Roman"/>
          <w:b/>
          <w:sz w:val="32"/>
          <w:szCs w:val="28"/>
        </w:rPr>
        <w:t xml:space="preserve"> Meeting Minutes</w:t>
      </w:r>
    </w:p>
    <w:p w14:paraId="51716195" w14:textId="6AEEAF25" w:rsidR="001A4731" w:rsidRPr="009563A0" w:rsidRDefault="00193AEA" w:rsidP="00E833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63A0">
        <w:rPr>
          <w:rFonts w:ascii="Times New Roman" w:hAnsi="Times New Roman" w:cs="Times New Roman"/>
          <w:b/>
          <w:sz w:val="24"/>
          <w:szCs w:val="24"/>
        </w:rPr>
        <w:t>Tuesday</w:t>
      </w:r>
      <w:r w:rsidR="001347B3" w:rsidRPr="009563A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16986">
        <w:rPr>
          <w:rFonts w:ascii="Times New Roman" w:hAnsi="Times New Roman" w:cs="Times New Roman"/>
          <w:b/>
          <w:sz w:val="24"/>
          <w:szCs w:val="24"/>
        </w:rPr>
        <w:t xml:space="preserve">March </w:t>
      </w:r>
      <w:r w:rsidR="00C31214">
        <w:rPr>
          <w:rFonts w:ascii="Times New Roman" w:hAnsi="Times New Roman" w:cs="Times New Roman"/>
          <w:b/>
          <w:sz w:val="24"/>
          <w:szCs w:val="24"/>
        </w:rPr>
        <w:t>29</w:t>
      </w:r>
      <w:r w:rsidR="00116986">
        <w:rPr>
          <w:rFonts w:ascii="Times New Roman" w:hAnsi="Times New Roman" w:cs="Times New Roman"/>
          <w:b/>
          <w:sz w:val="24"/>
          <w:szCs w:val="24"/>
        </w:rPr>
        <w:t>,</w:t>
      </w:r>
      <w:r w:rsidR="009B65C7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850C99" w:rsidRPr="009563A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C374A">
        <w:rPr>
          <w:rFonts w:ascii="Times New Roman" w:hAnsi="Times New Roman" w:cs="Times New Roman"/>
          <w:b/>
          <w:sz w:val="24"/>
          <w:szCs w:val="24"/>
        </w:rPr>
        <w:t>9</w:t>
      </w:r>
      <w:r w:rsidRPr="009563A0">
        <w:rPr>
          <w:rFonts w:ascii="Times New Roman" w:hAnsi="Times New Roman" w:cs="Times New Roman"/>
          <w:b/>
          <w:sz w:val="24"/>
          <w:szCs w:val="24"/>
        </w:rPr>
        <w:t xml:space="preserve"> a.m.- </w:t>
      </w:r>
      <w:r w:rsidR="00A1454B" w:rsidRPr="009563A0">
        <w:rPr>
          <w:rFonts w:ascii="Times New Roman" w:hAnsi="Times New Roman" w:cs="Times New Roman"/>
          <w:b/>
          <w:sz w:val="24"/>
          <w:szCs w:val="24"/>
        </w:rPr>
        <w:t>1</w:t>
      </w:r>
      <w:r w:rsidR="000C374A">
        <w:rPr>
          <w:rFonts w:ascii="Times New Roman" w:hAnsi="Times New Roman" w:cs="Times New Roman"/>
          <w:b/>
          <w:sz w:val="24"/>
          <w:szCs w:val="24"/>
        </w:rPr>
        <w:t>0</w:t>
      </w:r>
      <w:r w:rsidR="0002117D" w:rsidRPr="009563A0">
        <w:rPr>
          <w:rFonts w:ascii="Times New Roman" w:hAnsi="Times New Roman" w:cs="Times New Roman"/>
          <w:b/>
          <w:sz w:val="24"/>
          <w:szCs w:val="24"/>
        </w:rPr>
        <w:t>:</w:t>
      </w:r>
      <w:r w:rsidR="00C31214">
        <w:rPr>
          <w:rFonts w:ascii="Times New Roman" w:hAnsi="Times New Roman" w:cs="Times New Roman"/>
          <w:b/>
          <w:sz w:val="24"/>
          <w:szCs w:val="24"/>
        </w:rPr>
        <w:t>0</w:t>
      </w:r>
      <w:r w:rsidR="0002117D" w:rsidRPr="009563A0">
        <w:rPr>
          <w:rFonts w:ascii="Times New Roman" w:hAnsi="Times New Roman" w:cs="Times New Roman"/>
          <w:b/>
          <w:sz w:val="24"/>
          <w:szCs w:val="24"/>
        </w:rPr>
        <w:t>0 a.m</w:t>
      </w:r>
      <w:r w:rsidR="001347B3" w:rsidRPr="009563A0">
        <w:rPr>
          <w:rFonts w:ascii="Times New Roman" w:hAnsi="Times New Roman" w:cs="Times New Roman"/>
          <w:b/>
          <w:sz w:val="24"/>
          <w:szCs w:val="24"/>
        </w:rPr>
        <w:t>.</w:t>
      </w:r>
      <w:r w:rsidR="00850C99" w:rsidRPr="009563A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563A0">
        <w:rPr>
          <w:rFonts w:ascii="Times New Roman" w:hAnsi="Times New Roman" w:cs="Times New Roman"/>
          <w:b/>
          <w:sz w:val="24"/>
          <w:szCs w:val="24"/>
        </w:rPr>
        <w:t>Zoom</w:t>
      </w:r>
    </w:p>
    <w:p w14:paraId="0475CCA7" w14:textId="77777777" w:rsidR="0094490D" w:rsidRDefault="0094490D" w:rsidP="00022F83">
      <w:pPr>
        <w:spacing w:after="0" w:line="240" w:lineRule="auto"/>
        <w:rPr>
          <w:rFonts w:ascii="Times New Roman" w:hAnsi="Times New Roman" w:cs="Times New Roman"/>
          <w:b/>
        </w:rPr>
      </w:pPr>
    </w:p>
    <w:p w14:paraId="2FB4513E" w14:textId="486AEA84" w:rsidR="003739FE" w:rsidRPr="009563A0" w:rsidRDefault="00823518" w:rsidP="00022F83">
      <w:pPr>
        <w:spacing w:after="0" w:line="240" w:lineRule="auto"/>
        <w:rPr>
          <w:rFonts w:ascii="Times New Roman" w:hAnsi="Times New Roman" w:cs="Times New Roman"/>
        </w:rPr>
      </w:pPr>
      <w:r w:rsidRPr="009563A0">
        <w:rPr>
          <w:rFonts w:ascii="Times New Roman" w:hAnsi="Times New Roman" w:cs="Times New Roman"/>
          <w:b/>
        </w:rPr>
        <w:t>Present:</w:t>
      </w:r>
      <w:r w:rsidR="000E3BE9" w:rsidRPr="009563A0">
        <w:rPr>
          <w:rFonts w:ascii="Times New Roman" w:hAnsi="Times New Roman" w:cs="Times New Roman"/>
          <w:b/>
        </w:rPr>
        <w:t xml:space="preserve"> </w:t>
      </w:r>
      <w:r w:rsidR="00022F83" w:rsidRPr="009563A0">
        <w:rPr>
          <w:rFonts w:ascii="Times New Roman" w:hAnsi="Times New Roman" w:cs="Times New Roman"/>
        </w:rPr>
        <w:t>Tania Sheldahl, Lauri Dreher,</w:t>
      </w:r>
      <w:r w:rsidR="003739FE" w:rsidRPr="009563A0">
        <w:rPr>
          <w:rFonts w:ascii="Times New Roman" w:hAnsi="Times New Roman" w:cs="Times New Roman"/>
        </w:rPr>
        <w:t xml:space="preserve"> </w:t>
      </w:r>
      <w:r w:rsidR="00022F83" w:rsidRPr="009563A0">
        <w:rPr>
          <w:rFonts w:ascii="Times New Roman" w:hAnsi="Times New Roman" w:cs="Times New Roman"/>
        </w:rPr>
        <w:t xml:space="preserve">Patrick Burns, </w:t>
      </w:r>
      <w:r w:rsidR="00D21877">
        <w:rPr>
          <w:rFonts w:ascii="Times New Roman" w:hAnsi="Times New Roman" w:cs="Times New Roman"/>
        </w:rPr>
        <w:t xml:space="preserve">Tom Hughes, </w:t>
      </w:r>
      <w:r w:rsidR="00A32881">
        <w:rPr>
          <w:rFonts w:ascii="Times New Roman" w:hAnsi="Times New Roman" w:cs="Times New Roman"/>
        </w:rPr>
        <w:t xml:space="preserve">Dr. Emily Weinacker, </w:t>
      </w:r>
      <w:r w:rsidR="00C40DEC">
        <w:rPr>
          <w:rFonts w:ascii="Times New Roman" w:hAnsi="Times New Roman" w:cs="Times New Roman"/>
        </w:rPr>
        <w:t>Brian Moultrup,</w:t>
      </w:r>
      <w:r w:rsidR="001D0BC9">
        <w:rPr>
          <w:rFonts w:ascii="Times New Roman" w:hAnsi="Times New Roman" w:cs="Times New Roman"/>
        </w:rPr>
        <w:t xml:space="preserve"> </w:t>
      </w:r>
      <w:r w:rsidR="00C40DEC">
        <w:rPr>
          <w:rFonts w:ascii="Times New Roman" w:hAnsi="Times New Roman" w:cs="Times New Roman"/>
        </w:rPr>
        <w:t>Julie Galgano</w:t>
      </w:r>
      <w:r w:rsidR="00ED1390">
        <w:rPr>
          <w:rFonts w:ascii="Times New Roman" w:hAnsi="Times New Roman" w:cs="Times New Roman"/>
        </w:rPr>
        <w:t>,</w:t>
      </w:r>
      <w:r w:rsidR="003C45BD">
        <w:rPr>
          <w:rFonts w:ascii="Times New Roman" w:hAnsi="Times New Roman" w:cs="Times New Roman"/>
        </w:rPr>
        <w:t xml:space="preserve"> Megan Crossfield</w:t>
      </w:r>
      <w:r w:rsidR="009B65C7">
        <w:rPr>
          <w:rFonts w:ascii="Times New Roman" w:hAnsi="Times New Roman" w:cs="Times New Roman"/>
        </w:rPr>
        <w:t>,</w:t>
      </w:r>
      <w:r w:rsidR="0015067D">
        <w:rPr>
          <w:rFonts w:ascii="Times New Roman" w:hAnsi="Times New Roman" w:cs="Times New Roman"/>
        </w:rPr>
        <w:t xml:space="preserve"> Marnee Zazueta,</w:t>
      </w:r>
      <w:r w:rsidR="003C45BD">
        <w:rPr>
          <w:rFonts w:ascii="Times New Roman" w:hAnsi="Times New Roman" w:cs="Times New Roman"/>
        </w:rPr>
        <w:t xml:space="preserve"> </w:t>
      </w:r>
      <w:r w:rsidR="009C30B9">
        <w:rPr>
          <w:rFonts w:ascii="Times New Roman" w:hAnsi="Times New Roman" w:cs="Times New Roman"/>
        </w:rPr>
        <w:t xml:space="preserve">Dr. Clint Ewell, Richard Hernandez, Diana Dowling, Mary Talosi, Tom Aldridge, </w:t>
      </w:r>
      <w:r w:rsidR="003C45BD">
        <w:rPr>
          <w:rFonts w:ascii="Times New Roman" w:hAnsi="Times New Roman" w:cs="Times New Roman"/>
        </w:rPr>
        <w:t>and Michael Pierce</w:t>
      </w:r>
      <w:r w:rsidR="00DB297C">
        <w:rPr>
          <w:rFonts w:ascii="Times New Roman" w:hAnsi="Times New Roman" w:cs="Times New Roman"/>
        </w:rPr>
        <w:t>.</w:t>
      </w:r>
    </w:p>
    <w:p w14:paraId="7F8010E5" w14:textId="77777777" w:rsidR="0002117D" w:rsidRPr="009563A0" w:rsidRDefault="0002117D" w:rsidP="00022F8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3927" w:type="dxa"/>
        <w:tblLayout w:type="fixed"/>
        <w:tblLook w:val="04A0" w:firstRow="1" w:lastRow="0" w:firstColumn="1" w:lastColumn="0" w:noHBand="0" w:noVBand="1"/>
      </w:tblPr>
      <w:tblGrid>
        <w:gridCol w:w="3685"/>
        <w:gridCol w:w="10242"/>
      </w:tblGrid>
      <w:tr w:rsidR="00B644CA" w:rsidRPr="009563A0" w14:paraId="2967190D" w14:textId="77777777" w:rsidTr="000F4846">
        <w:trPr>
          <w:trHeight w:val="160"/>
        </w:trPr>
        <w:tc>
          <w:tcPr>
            <w:tcW w:w="3685" w:type="dxa"/>
          </w:tcPr>
          <w:p w14:paraId="339D9350" w14:textId="77777777" w:rsidR="00850C99" w:rsidRPr="009563A0" w:rsidRDefault="00850C99">
            <w:pPr>
              <w:rPr>
                <w:rFonts w:ascii="Times New Roman" w:hAnsi="Times New Roman" w:cs="Times New Roman"/>
                <w:b/>
              </w:rPr>
            </w:pPr>
            <w:r w:rsidRPr="009563A0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10242" w:type="dxa"/>
          </w:tcPr>
          <w:p w14:paraId="3F292B18" w14:textId="77777777" w:rsidR="00850C99" w:rsidRPr="009563A0" w:rsidRDefault="00850C99">
            <w:pPr>
              <w:rPr>
                <w:rFonts w:ascii="Times New Roman" w:hAnsi="Times New Roman" w:cs="Times New Roman"/>
                <w:b/>
              </w:rPr>
            </w:pPr>
            <w:r w:rsidRPr="009563A0">
              <w:rPr>
                <w:rFonts w:ascii="Times New Roman" w:hAnsi="Times New Roman" w:cs="Times New Roman"/>
                <w:b/>
              </w:rPr>
              <w:t>ACTION</w:t>
            </w:r>
          </w:p>
        </w:tc>
      </w:tr>
      <w:tr w:rsidR="00B644CA" w:rsidRPr="009563A0" w14:paraId="27147E0D" w14:textId="77777777" w:rsidTr="000F4846">
        <w:trPr>
          <w:trHeight w:val="529"/>
        </w:trPr>
        <w:tc>
          <w:tcPr>
            <w:tcW w:w="3685" w:type="dxa"/>
          </w:tcPr>
          <w:p w14:paraId="7FA364D4" w14:textId="77777777" w:rsidR="00C31214" w:rsidRDefault="00C31214" w:rsidP="00C312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SPC Deliverables Update</w:t>
            </w:r>
          </w:p>
          <w:p w14:paraId="1FDA4EDC" w14:textId="3A580980" w:rsidR="009B053A" w:rsidRPr="008C5B7C" w:rsidRDefault="009B053A" w:rsidP="0011698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242" w:type="dxa"/>
          </w:tcPr>
          <w:p w14:paraId="151022D2" w14:textId="3E3DAA84" w:rsidR="000F4846" w:rsidRPr="00CA1335" w:rsidRDefault="00D21877" w:rsidP="000F4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majority of the SPC deliverables are completed. </w:t>
            </w:r>
            <w:r w:rsidR="000F4846">
              <w:rPr>
                <w:rFonts w:ascii="Times New Roman" w:hAnsi="Times New Roman" w:cs="Times New Roman"/>
              </w:rPr>
              <w:t xml:space="preserve">The next step is to start </w:t>
            </w:r>
            <w:r w:rsidR="00C310BF">
              <w:rPr>
                <w:rFonts w:ascii="Times New Roman" w:hAnsi="Times New Roman" w:cs="Times New Roman"/>
              </w:rPr>
              <w:t>updating</w:t>
            </w:r>
            <w:r w:rsidR="000F4846">
              <w:rPr>
                <w:rFonts w:ascii="Times New Roman" w:hAnsi="Times New Roman" w:cs="Times New Roman"/>
              </w:rPr>
              <w:t xml:space="preserve"> the SWOT matrix and reviewing the YC’s Strategic Goals and Initiatives. </w:t>
            </w:r>
          </w:p>
        </w:tc>
      </w:tr>
      <w:tr w:rsidR="00B644CA" w:rsidRPr="009563A0" w14:paraId="0303856B" w14:textId="77777777" w:rsidTr="000F4846">
        <w:trPr>
          <w:trHeight w:val="5498"/>
        </w:trPr>
        <w:tc>
          <w:tcPr>
            <w:tcW w:w="3685" w:type="dxa"/>
          </w:tcPr>
          <w:p w14:paraId="07192DD1" w14:textId="77777777" w:rsidR="00C31214" w:rsidRDefault="00C31214" w:rsidP="00C312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 Strategic Priorities</w:t>
            </w:r>
          </w:p>
          <w:p w14:paraId="6BFF4E24" w14:textId="77777777" w:rsidR="00C31214" w:rsidRDefault="00C31214" w:rsidP="00C31214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ELT feedback</w:t>
            </w:r>
          </w:p>
          <w:p w14:paraId="4763E9DF" w14:textId="4AFAD0E3" w:rsidR="00C40DEC" w:rsidRPr="008C5B7C" w:rsidRDefault="00C40DEC" w:rsidP="00C3121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242" w:type="dxa"/>
          </w:tcPr>
          <w:p w14:paraId="39296E41" w14:textId="77777777" w:rsidR="000F4846" w:rsidRDefault="000F4846" w:rsidP="00C31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ELT provided the following feedback for the 2022-2023 Strategic priorities:</w:t>
            </w:r>
          </w:p>
          <w:p w14:paraId="6DF0DCAF" w14:textId="124EC92F" w:rsidR="000F4846" w:rsidRDefault="00C310BF" w:rsidP="000F4846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0F4846">
              <w:rPr>
                <w:rFonts w:ascii="Times New Roman" w:hAnsi="Times New Roman" w:cs="Times New Roman"/>
              </w:rPr>
              <w:t>ifferent format- by changing the design, it removed the duplicates where strategic priorities were under more than one of the four areas.</w:t>
            </w:r>
          </w:p>
          <w:p w14:paraId="22E8E964" w14:textId="1C4D3B73" w:rsidR="000F4846" w:rsidRDefault="000F4846" w:rsidP="000F4846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ELT added the columns highlighted in yellow. </w:t>
            </w:r>
          </w:p>
          <w:p w14:paraId="1A1D4D46" w14:textId="2E7AF7E7" w:rsidR="000F4846" w:rsidRPr="000F4846" w:rsidRDefault="00ED4AA8" w:rsidP="000F4846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E563019" wp14:editId="270241C5">
                  <wp:simplePos x="0" y="0"/>
                  <wp:positionH relativeFrom="column">
                    <wp:posOffset>335649</wp:posOffset>
                  </wp:positionH>
                  <wp:positionV relativeFrom="paragraph">
                    <wp:posOffset>7975</wp:posOffset>
                  </wp:positionV>
                  <wp:extent cx="5405755" cy="2764790"/>
                  <wp:effectExtent l="0" t="0" r="444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5755" cy="2764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95B7907" w14:textId="7D1DFB62" w:rsidR="000F4846" w:rsidRDefault="000F4846" w:rsidP="000F4846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0740CC1C" w14:textId="77777777" w:rsidR="000F4846" w:rsidRDefault="000F4846" w:rsidP="000F4846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313E5266" w14:textId="77777777" w:rsidR="000F4846" w:rsidRDefault="000F4846" w:rsidP="000F4846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779930A7" w14:textId="77777777" w:rsidR="000F4846" w:rsidRDefault="000F4846" w:rsidP="000F4846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68D62601" w14:textId="77777777" w:rsidR="000F4846" w:rsidRDefault="000F4846" w:rsidP="000F4846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2699D208" w14:textId="77777777" w:rsidR="000F4846" w:rsidRDefault="000F4846" w:rsidP="000F4846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0E5517AC" w14:textId="77777777" w:rsidR="000F4846" w:rsidRDefault="000F4846" w:rsidP="000F4846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684DC5A9" w14:textId="77777777" w:rsidR="000F4846" w:rsidRDefault="000F4846" w:rsidP="000F4846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6FC936F2" w14:textId="77777777" w:rsidR="000F4846" w:rsidRDefault="000F4846" w:rsidP="000F4846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65D1C2B3" w14:textId="77777777" w:rsidR="000F4846" w:rsidRDefault="000F4846" w:rsidP="000F4846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68E83A5C" w14:textId="77777777" w:rsidR="000F4846" w:rsidRDefault="000F4846" w:rsidP="000F4846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033C8D8E" w14:textId="77777777" w:rsidR="000F4846" w:rsidRDefault="000F4846" w:rsidP="000F4846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70CC1853" w14:textId="77777777" w:rsidR="000F4846" w:rsidRDefault="000F4846" w:rsidP="000F4846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5D4E5B11" w14:textId="39C70B45" w:rsidR="000F4846" w:rsidRDefault="000F4846" w:rsidP="000F4846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24082AF6" w14:textId="6864F17D" w:rsidR="00ED4AA8" w:rsidRDefault="00ED4AA8" w:rsidP="000F4846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51D23CC0" w14:textId="77777777" w:rsidR="00ED4AA8" w:rsidRDefault="00ED4AA8" w:rsidP="000F4846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5F0FFA55" w14:textId="03AEC7CB" w:rsidR="000F4846" w:rsidRPr="000F4846" w:rsidRDefault="000F4846" w:rsidP="000F4846">
            <w:pPr>
              <w:rPr>
                <w:rFonts w:ascii="Times New Roman" w:hAnsi="Times New Roman" w:cs="Times New Roman"/>
              </w:rPr>
            </w:pPr>
          </w:p>
        </w:tc>
      </w:tr>
      <w:tr w:rsidR="00B644CA" w:rsidRPr="008C5B7C" w14:paraId="79E45F9B" w14:textId="77777777" w:rsidTr="000F4846">
        <w:trPr>
          <w:trHeight w:val="50"/>
        </w:trPr>
        <w:tc>
          <w:tcPr>
            <w:tcW w:w="3685" w:type="dxa"/>
          </w:tcPr>
          <w:p w14:paraId="2BEFA8DC" w14:textId="77777777" w:rsidR="00C31214" w:rsidRDefault="00C31214" w:rsidP="00C312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SPC KPIs</w:t>
            </w:r>
          </w:p>
          <w:p w14:paraId="242DCF0C" w14:textId="6D6825CA" w:rsidR="00C31214" w:rsidRDefault="00C31214" w:rsidP="00C31214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ELT feedback</w:t>
            </w:r>
          </w:p>
          <w:p w14:paraId="0C6CD202" w14:textId="77777777" w:rsidR="00C31214" w:rsidRDefault="00C31214" w:rsidP="00C31214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KPI communication plan</w:t>
            </w:r>
          </w:p>
          <w:p w14:paraId="5DB60638" w14:textId="57C0621A" w:rsidR="00B668B6" w:rsidRDefault="00B668B6" w:rsidP="00B668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DAFF7" w14:textId="4233ACBB" w:rsidR="00875378" w:rsidRPr="008C5B7C" w:rsidRDefault="00875378" w:rsidP="0011698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242" w:type="dxa"/>
          </w:tcPr>
          <w:p w14:paraId="4144725E" w14:textId="62136EB5" w:rsidR="00D70382" w:rsidRPr="008C5B7C" w:rsidRDefault="000F4846" w:rsidP="009B65C7">
            <w:pPr>
              <w:pStyle w:val="NoSpacing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Tom provided the committee with an analysis of the KPIs. Once the KPIs have been approved, Tom will </w:t>
            </w:r>
            <w:r w:rsidR="00C310BF">
              <w:rPr>
                <w:rFonts w:ascii="Times New Roman" w:hAnsi="Times New Roman" w:cs="Times New Roman"/>
                <w:bCs/>
              </w:rPr>
              <w:t>collaborate</w:t>
            </w:r>
            <w:r>
              <w:rPr>
                <w:rFonts w:ascii="Times New Roman" w:hAnsi="Times New Roman" w:cs="Times New Roman"/>
                <w:bCs/>
              </w:rPr>
              <w:t xml:space="preserve"> with his team to build some visualizations and displays that will be posted on the SPC website. Tom will share the development of those with the committee via email.</w:t>
            </w:r>
          </w:p>
        </w:tc>
      </w:tr>
      <w:tr w:rsidR="00B668B6" w:rsidRPr="008C5B7C" w14:paraId="54B0731A" w14:textId="77777777" w:rsidTr="000F4846">
        <w:trPr>
          <w:trHeight w:val="507"/>
        </w:trPr>
        <w:tc>
          <w:tcPr>
            <w:tcW w:w="3685" w:type="dxa"/>
          </w:tcPr>
          <w:p w14:paraId="5AD2040C" w14:textId="77777777" w:rsidR="00C31214" w:rsidRPr="003F422D" w:rsidRDefault="00C31214" w:rsidP="00C312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F422D">
              <w:rPr>
                <w:rFonts w:ascii="Times New Roman" w:hAnsi="Times New Roman" w:cs="Times New Roman"/>
                <w:sz w:val="24"/>
                <w:szCs w:val="24"/>
              </w:rPr>
              <w:t>SWOT</w:t>
            </w:r>
          </w:p>
          <w:p w14:paraId="45F22C68" w14:textId="77777777" w:rsidR="00C31214" w:rsidRPr="003F422D" w:rsidRDefault="00C31214" w:rsidP="00C31214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422D">
              <w:rPr>
                <w:rFonts w:ascii="Times New Roman" w:hAnsi="Times New Roman" w:cs="Times New Roman"/>
                <w:sz w:val="24"/>
                <w:szCs w:val="24"/>
              </w:rPr>
              <w:t>Review current SWOT</w:t>
            </w:r>
          </w:p>
          <w:p w14:paraId="769E68C5" w14:textId="77777777" w:rsidR="00C31214" w:rsidRPr="003F422D" w:rsidRDefault="00C31214" w:rsidP="00C31214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422D">
              <w:rPr>
                <w:rFonts w:ascii="Times New Roman" w:hAnsi="Times New Roman" w:cs="Times New Roman"/>
                <w:sz w:val="24"/>
                <w:szCs w:val="24"/>
              </w:rPr>
              <w:t>Discussion of updates</w:t>
            </w:r>
          </w:p>
          <w:p w14:paraId="730FD7E0" w14:textId="7B07C838" w:rsidR="00B668B6" w:rsidRPr="003F422D" w:rsidRDefault="00B668B6" w:rsidP="005D18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2" w:type="dxa"/>
          </w:tcPr>
          <w:p w14:paraId="32240798" w14:textId="366E75B8" w:rsidR="00CA1335" w:rsidRPr="003F422D" w:rsidRDefault="00D21877" w:rsidP="00C31214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3F422D">
              <w:rPr>
                <w:rFonts w:ascii="Times New Roman" w:hAnsi="Times New Roman" w:cs="Times New Roman"/>
                <w:bCs/>
              </w:rPr>
              <w:t xml:space="preserve">The committee reviewed the SWOT that </w:t>
            </w:r>
            <w:r w:rsidR="000F4846" w:rsidRPr="003F422D">
              <w:rPr>
                <w:rFonts w:ascii="Times New Roman" w:hAnsi="Times New Roman" w:cs="Times New Roman"/>
                <w:bCs/>
              </w:rPr>
              <w:t>last year’s committee did</w:t>
            </w:r>
            <w:r w:rsidRPr="003F422D">
              <w:rPr>
                <w:rFonts w:ascii="Times New Roman" w:hAnsi="Times New Roman" w:cs="Times New Roman"/>
                <w:bCs/>
              </w:rPr>
              <w:t xml:space="preserve">. </w:t>
            </w:r>
            <w:r w:rsidR="000F4846" w:rsidRPr="003F422D">
              <w:rPr>
                <w:rFonts w:ascii="Times New Roman" w:hAnsi="Times New Roman" w:cs="Times New Roman"/>
                <w:bCs/>
              </w:rPr>
              <w:t>The group provided the following suggestions to be added.</w:t>
            </w:r>
          </w:p>
          <w:p w14:paraId="656C3D3D" w14:textId="77777777" w:rsidR="000F4846" w:rsidRPr="003F422D" w:rsidRDefault="000F4846" w:rsidP="00C31214">
            <w:pPr>
              <w:pStyle w:val="NoSpacing"/>
              <w:rPr>
                <w:rFonts w:ascii="Times New Roman" w:hAnsi="Times New Roman" w:cs="Times New Roman"/>
                <w:bCs/>
              </w:rPr>
            </w:pPr>
          </w:p>
          <w:p w14:paraId="78C46646" w14:textId="3A4F0F8E" w:rsidR="003F422D" w:rsidRPr="003F422D" w:rsidRDefault="00520408" w:rsidP="00D21877">
            <w:pPr>
              <w:ind w:firstLine="720"/>
              <w:rPr>
                <w:rFonts w:ascii="Times New Roman" w:hAnsi="Times New Roman" w:cs="Times New Roman"/>
                <w:b/>
                <w:bCs/>
              </w:rPr>
            </w:pPr>
            <w:r w:rsidRPr="003F422D">
              <w:rPr>
                <w:rFonts w:ascii="Times New Roman" w:hAnsi="Times New Roman" w:cs="Times New Roman"/>
                <w:b/>
                <w:bCs/>
              </w:rPr>
              <w:t>Strength</w:t>
            </w:r>
          </w:p>
          <w:p w14:paraId="11024847" w14:textId="617CAB33" w:rsidR="00D21877" w:rsidRPr="003F422D" w:rsidRDefault="00520408" w:rsidP="003F422D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3F422D">
              <w:rPr>
                <w:rFonts w:ascii="Times New Roman" w:hAnsi="Times New Roman" w:cs="Times New Roman"/>
              </w:rPr>
              <w:t>Early College Relationship</w:t>
            </w:r>
            <w:r w:rsidR="003F422D" w:rsidRPr="003F422D">
              <w:rPr>
                <w:rFonts w:ascii="Times New Roman" w:hAnsi="Times New Roman" w:cs="Times New Roman"/>
              </w:rPr>
              <w:t>.</w:t>
            </w:r>
          </w:p>
          <w:p w14:paraId="5BD46AFA" w14:textId="5B2A40AA" w:rsidR="003F422D" w:rsidRPr="003F422D" w:rsidRDefault="003F422D" w:rsidP="003F422D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3F422D">
              <w:rPr>
                <w:rFonts w:ascii="Times New Roman" w:hAnsi="Times New Roman" w:cs="Times New Roman"/>
              </w:rPr>
              <w:t>YCPAC Performing Arts Program vs. YCPAC?</w:t>
            </w:r>
          </w:p>
          <w:p w14:paraId="2448338B" w14:textId="7352FE00" w:rsidR="003F422D" w:rsidRPr="003F422D" w:rsidRDefault="003F422D" w:rsidP="00D21877">
            <w:pPr>
              <w:ind w:firstLine="720"/>
              <w:rPr>
                <w:rFonts w:ascii="Times New Roman" w:hAnsi="Times New Roman" w:cs="Times New Roman"/>
                <w:b/>
                <w:bCs/>
              </w:rPr>
            </w:pPr>
            <w:r w:rsidRPr="003F422D">
              <w:rPr>
                <w:rFonts w:ascii="Times New Roman" w:hAnsi="Times New Roman" w:cs="Times New Roman"/>
                <w:b/>
                <w:bCs/>
              </w:rPr>
              <w:t xml:space="preserve">Weaknesses </w:t>
            </w:r>
          </w:p>
          <w:p w14:paraId="311283EA" w14:textId="6AF2037C" w:rsidR="003F422D" w:rsidRPr="003F422D" w:rsidRDefault="003F422D" w:rsidP="003F422D">
            <w:pPr>
              <w:pStyle w:val="ListParagraph"/>
              <w:numPr>
                <w:ilvl w:val="0"/>
                <w:numId w:val="29"/>
              </w:numPr>
              <w:ind w:left="1440"/>
              <w:rPr>
                <w:rFonts w:ascii="Times New Roman" w:hAnsi="Times New Roman" w:cs="Times New Roman"/>
              </w:rPr>
            </w:pPr>
            <w:r w:rsidRPr="003F422D">
              <w:rPr>
                <w:rFonts w:ascii="Times New Roman" w:hAnsi="Times New Roman" w:cs="Times New Roman"/>
              </w:rPr>
              <w:t>Lack of common Canvas shell (look and navigation).</w:t>
            </w:r>
          </w:p>
          <w:p w14:paraId="2E5B71E3" w14:textId="44BB928D" w:rsidR="003F422D" w:rsidRPr="003F422D" w:rsidRDefault="003F422D" w:rsidP="003F422D">
            <w:pPr>
              <w:pStyle w:val="ListParagraph"/>
              <w:numPr>
                <w:ilvl w:val="0"/>
                <w:numId w:val="28"/>
              </w:numPr>
              <w:ind w:left="1440"/>
              <w:rPr>
                <w:rFonts w:ascii="Times New Roman" w:hAnsi="Times New Roman" w:cs="Times New Roman"/>
                <w:color w:val="000000"/>
              </w:rPr>
            </w:pPr>
            <w:r w:rsidRPr="003F422D">
              <w:rPr>
                <w:rFonts w:ascii="Times New Roman" w:hAnsi="Times New Roman" w:cs="Times New Roman"/>
                <w:color w:val="000000"/>
              </w:rPr>
              <w:t>Too reliant on adjuncts with not providing enough resources to be engaged and involved.</w:t>
            </w:r>
          </w:p>
          <w:p w14:paraId="27DB9A8B" w14:textId="2A0CB655" w:rsidR="003F422D" w:rsidRPr="003F422D" w:rsidRDefault="003F422D" w:rsidP="003F422D">
            <w:pPr>
              <w:pStyle w:val="ListParagraph"/>
              <w:numPr>
                <w:ilvl w:val="0"/>
                <w:numId w:val="28"/>
              </w:numPr>
              <w:ind w:left="1440"/>
              <w:rPr>
                <w:rFonts w:ascii="Times New Roman" w:hAnsi="Times New Roman" w:cs="Times New Roman"/>
                <w:color w:val="000000"/>
              </w:rPr>
            </w:pPr>
            <w:r w:rsidRPr="003F422D">
              <w:rPr>
                <w:rFonts w:ascii="Times New Roman" w:hAnsi="Times New Roman" w:cs="Times New Roman"/>
                <w:color w:val="000000"/>
              </w:rPr>
              <w:t>Not agile in academic processes to remain competitive.</w:t>
            </w:r>
          </w:p>
          <w:p w14:paraId="4D6DF70D" w14:textId="6D24A959" w:rsidR="003F422D" w:rsidRPr="003F422D" w:rsidRDefault="003F422D" w:rsidP="00D21877">
            <w:pPr>
              <w:ind w:firstLine="720"/>
              <w:rPr>
                <w:rFonts w:ascii="Times New Roman" w:hAnsi="Times New Roman" w:cs="Times New Roman"/>
                <w:b/>
                <w:bCs/>
              </w:rPr>
            </w:pPr>
            <w:r w:rsidRPr="003F422D">
              <w:rPr>
                <w:rFonts w:ascii="Times New Roman" w:hAnsi="Times New Roman" w:cs="Times New Roman"/>
                <w:b/>
                <w:bCs/>
              </w:rPr>
              <w:t>Opportunities</w:t>
            </w:r>
          </w:p>
          <w:p w14:paraId="60220E71" w14:textId="371B36A9" w:rsidR="003F422D" w:rsidRPr="003F422D" w:rsidRDefault="003F422D" w:rsidP="003F422D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00000"/>
              </w:rPr>
            </w:pPr>
            <w:r w:rsidRPr="003F422D">
              <w:rPr>
                <w:rFonts w:ascii="Times New Roman" w:hAnsi="Times New Roman" w:cs="Times New Roman"/>
                <w:color w:val="000000"/>
              </w:rPr>
              <w:t>Recruitment outside the county and state for destination programs.</w:t>
            </w:r>
          </w:p>
          <w:p w14:paraId="276E257E" w14:textId="35539F7A" w:rsidR="003F422D" w:rsidRPr="003F422D" w:rsidRDefault="003F422D" w:rsidP="003F422D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00000"/>
              </w:rPr>
            </w:pPr>
            <w:r w:rsidRPr="003F422D">
              <w:rPr>
                <w:rFonts w:ascii="Times New Roman" w:hAnsi="Times New Roman" w:cs="Times New Roman"/>
                <w:color w:val="000000"/>
              </w:rPr>
              <w:t>Ability to now offer 4-year baccalaureate degrees.</w:t>
            </w:r>
          </w:p>
          <w:p w14:paraId="1B2A93A1" w14:textId="4C1D06BB" w:rsidR="003F422D" w:rsidRPr="003F422D" w:rsidRDefault="003F422D" w:rsidP="003F422D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00000"/>
              </w:rPr>
            </w:pPr>
            <w:r w:rsidRPr="003F422D">
              <w:rPr>
                <w:rFonts w:ascii="Times New Roman" w:hAnsi="Times New Roman" w:cs="Times New Roman"/>
                <w:color w:val="000000"/>
              </w:rPr>
              <w:t>New funding from Arizona for workforce programs.</w:t>
            </w:r>
          </w:p>
          <w:p w14:paraId="7B9A03F2" w14:textId="337AAFB6" w:rsidR="003F422D" w:rsidRPr="003F422D" w:rsidRDefault="003F422D" w:rsidP="00D21877">
            <w:pPr>
              <w:ind w:firstLine="720"/>
              <w:rPr>
                <w:rFonts w:ascii="Times New Roman" w:hAnsi="Times New Roman" w:cs="Times New Roman"/>
                <w:b/>
                <w:bCs/>
              </w:rPr>
            </w:pPr>
            <w:r w:rsidRPr="003F422D">
              <w:rPr>
                <w:rFonts w:ascii="Times New Roman" w:hAnsi="Times New Roman" w:cs="Times New Roman"/>
                <w:b/>
                <w:bCs/>
              </w:rPr>
              <w:t>Threats</w:t>
            </w:r>
          </w:p>
          <w:p w14:paraId="04B3A33A" w14:textId="31F2D689" w:rsidR="003F422D" w:rsidRPr="003F422D" w:rsidRDefault="003F422D" w:rsidP="003F422D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3F422D">
              <w:rPr>
                <w:rFonts w:ascii="Times New Roman" w:hAnsi="Times New Roman" w:cs="Times New Roman"/>
              </w:rPr>
              <w:t>Resignation and low applicant pool.</w:t>
            </w:r>
          </w:p>
          <w:p w14:paraId="5F55D131" w14:textId="7EFFAF3E" w:rsidR="003F422D" w:rsidRPr="003F422D" w:rsidRDefault="003F422D" w:rsidP="003F422D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3F422D">
              <w:rPr>
                <w:rFonts w:ascii="Times New Roman" w:hAnsi="Times New Roman" w:cs="Times New Roman"/>
              </w:rPr>
              <w:t>High salaries for occupational program faculty.</w:t>
            </w:r>
          </w:p>
          <w:p w14:paraId="6287BCFB" w14:textId="77777777" w:rsidR="003F422D" w:rsidRPr="003F422D" w:rsidRDefault="003F422D" w:rsidP="00D21877">
            <w:pPr>
              <w:ind w:firstLine="720"/>
              <w:rPr>
                <w:rFonts w:ascii="Times New Roman" w:hAnsi="Times New Roman" w:cs="Times New Roman"/>
              </w:rPr>
            </w:pPr>
          </w:p>
          <w:p w14:paraId="4EA52B80" w14:textId="07D2176F" w:rsidR="003F422D" w:rsidRPr="00ED4AA8" w:rsidRDefault="00ED4AA8" w:rsidP="00ED4AA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For the next SPC meeting, please </w:t>
            </w:r>
            <w:r w:rsidRPr="00ED4AA8">
              <w:rPr>
                <w:rFonts w:ascii="Times New Roman" w:hAnsi="Times New Roman" w:cs="Times New Roman"/>
                <w:color w:val="FF0000"/>
              </w:rPr>
              <w:t xml:space="preserve">review the current SWOT matrix and Strategic </w:t>
            </w:r>
            <w:r>
              <w:rPr>
                <w:rFonts w:ascii="Times New Roman" w:hAnsi="Times New Roman" w:cs="Times New Roman"/>
                <w:color w:val="FF0000"/>
              </w:rPr>
              <w:t xml:space="preserve">Plan </w:t>
            </w:r>
            <w:r w:rsidRPr="00ED4AA8">
              <w:rPr>
                <w:rFonts w:ascii="Times New Roman" w:hAnsi="Times New Roman" w:cs="Times New Roman"/>
                <w:color w:val="FF0000"/>
              </w:rPr>
              <w:t xml:space="preserve">initiatives </w:t>
            </w:r>
            <w:r>
              <w:rPr>
                <w:rFonts w:ascii="Times New Roman" w:hAnsi="Times New Roman" w:cs="Times New Roman"/>
                <w:color w:val="FF0000"/>
              </w:rPr>
              <w:t>and think if there is anything that needs to be added or deleted</w:t>
            </w:r>
          </w:p>
          <w:p w14:paraId="41D99EDE" w14:textId="712419E5" w:rsidR="00520408" w:rsidRPr="003F422D" w:rsidRDefault="00520408" w:rsidP="00D21877">
            <w:pPr>
              <w:ind w:firstLine="720"/>
              <w:rPr>
                <w:rFonts w:ascii="Times New Roman" w:hAnsi="Times New Roman" w:cs="Times New Roman"/>
              </w:rPr>
            </w:pPr>
          </w:p>
        </w:tc>
      </w:tr>
    </w:tbl>
    <w:p w14:paraId="03F30366" w14:textId="0D88DD4C" w:rsidR="009065F5" w:rsidRPr="00CA1335" w:rsidRDefault="00644416" w:rsidP="00022DF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Zoom recording</w:t>
      </w:r>
      <w:r w:rsidR="00ED4AA8">
        <w:rPr>
          <w:rFonts w:ascii="Times New Roman" w:hAnsi="Times New Roman" w:cs="Times New Roman"/>
          <w:b/>
          <w:bCs/>
        </w:rPr>
        <w:t xml:space="preserve">: </w:t>
      </w:r>
      <w:hyperlink r:id="rId10" w:history="1">
        <w:r w:rsidR="00ED4AA8" w:rsidRPr="00ED4AA8">
          <w:rPr>
            <w:rStyle w:val="Hyperlink"/>
            <w:rFonts w:ascii="Times New Roman" w:hAnsi="Times New Roman" w:cs="Times New Roman"/>
          </w:rPr>
          <w:t>https://yavapai.hosted.panopto.com/Panopto/Pages/Viewer.aspx?id=55adfef0-b702-4556-89d7-ae67011ecc2b</w:t>
        </w:r>
      </w:hyperlink>
      <w:r w:rsidR="00ED4AA8">
        <w:rPr>
          <w:rFonts w:ascii="Times New Roman" w:hAnsi="Times New Roman" w:cs="Times New Roman"/>
          <w:b/>
          <w:bCs/>
        </w:rPr>
        <w:t xml:space="preserve"> </w:t>
      </w:r>
    </w:p>
    <w:p w14:paraId="28D5AA83" w14:textId="77777777" w:rsidR="00D8484D" w:rsidRDefault="00D8484D" w:rsidP="00D8484D"/>
    <w:p w14:paraId="293DC703" w14:textId="420889D8" w:rsidR="00D8484D" w:rsidRDefault="00D8484D" w:rsidP="00022DFA">
      <w:pPr>
        <w:rPr>
          <w:rFonts w:ascii="Times New Roman" w:hAnsi="Times New Roman" w:cs="Times New Roman"/>
          <w:b/>
          <w:bCs/>
        </w:rPr>
      </w:pPr>
    </w:p>
    <w:p w14:paraId="5C9CEF72" w14:textId="77777777" w:rsidR="00D8484D" w:rsidRPr="00D8484D" w:rsidRDefault="00D8484D" w:rsidP="00022DFA">
      <w:pPr>
        <w:rPr>
          <w:rFonts w:ascii="Times New Roman" w:hAnsi="Times New Roman" w:cs="Times New Roman"/>
          <w:b/>
          <w:bCs/>
        </w:rPr>
      </w:pPr>
    </w:p>
    <w:sectPr w:rsidR="00D8484D" w:rsidRPr="00D8484D" w:rsidSect="00D8484D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86C2E"/>
    <w:multiLevelType w:val="hybridMultilevel"/>
    <w:tmpl w:val="ED241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45ED6"/>
    <w:multiLevelType w:val="hybridMultilevel"/>
    <w:tmpl w:val="E1889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BC6FDD"/>
    <w:multiLevelType w:val="hybridMultilevel"/>
    <w:tmpl w:val="986E2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D2FBF"/>
    <w:multiLevelType w:val="hybridMultilevel"/>
    <w:tmpl w:val="02106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5753D"/>
    <w:multiLevelType w:val="hybridMultilevel"/>
    <w:tmpl w:val="0804E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43308"/>
    <w:multiLevelType w:val="hybridMultilevel"/>
    <w:tmpl w:val="F21CC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86171"/>
    <w:multiLevelType w:val="hybridMultilevel"/>
    <w:tmpl w:val="D6F061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E5ADE"/>
    <w:multiLevelType w:val="hybridMultilevel"/>
    <w:tmpl w:val="5FF21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A0CAD"/>
    <w:multiLevelType w:val="hybridMultilevel"/>
    <w:tmpl w:val="0B9018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583BEE"/>
    <w:multiLevelType w:val="hybridMultilevel"/>
    <w:tmpl w:val="6FFC79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E0D9A"/>
    <w:multiLevelType w:val="hybridMultilevel"/>
    <w:tmpl w:val="0C4C1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C20723"/>
    <w:multiLevelType w:val="hybridMultilevel"/>
    <w:tmpl w:val="16EA5A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A3381C"/>
    <w:multiLevelType w:val="hybridMultilevel"/>
    <w:tmpl w:val="ADC606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1454F2"/>
    <w:multiLevelType w:val="hybridMultilevel"/>
    <w:tmpl w:val="28BE7E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704C7"/>
    <w:multiLevelType w:val="hybridMultilevel"/>
    <w:tmpl w:val="C8D064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775ECF"/>
    <w:multiLevelType w:val="hybridMultilevel"/>
    <w:tmpl w:val="3E9091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307CC"/>
    <w:multiLevelType w:val="hybridMultilevel"/>
    <w:tmpl w:val="84645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A65B7"/>
    <w:multiLevelType w:val="hybridMultilevel"/>
    <w:tmpl w:val="F8F09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51439"/>
    <w:multiLevelType w:val="hybridMultilevel"/>
    <w:tmpl w:val="AB067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1047C"/>
    <w:multiLevelType w:val="hybridMultilevel"/>
    <w:tmpl w:val="C0B43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015DF4"/>
    <w:multiLevelType w:val="hybridMultilevel"/>
    <w:tmpl w:val="4894A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7673FF"/>
    <w:multiLevelType w:val="hybridMultilevel"/>
    <w:tmpl w:val="AD7E2E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F1E7083"/>
    <w:multiLevelType w:val="hybridMultilevel"/>
    <w:tmpl w:val="C97663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2642AC"/>
    <w:multiLevelType w:val="hybridMultilevel"/>
    <w:tmpl w:val="285A6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4218F7"/>
    <w:multiLevelType w:val="hybridMultilevel"/>
    <w:tmpl w:val="E0FA8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DD4EE7"/>
    <w:multiLevelType w:val="hybridMultilevel"/>
    <w:tmpl w:val="9964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EF23DC"/>
    <w:multiLevelType w:val="hybridMultilevel"/>
    <w:tmpl w:val="B3C6224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484581D"/>
    <w:multiLevelType w:val="hybridMultilevel"/>
    <w:tmpl w:val="2A708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12090D"/>
    <w:multiLevelType w:val="hybridMultilevel"/>
    <w:tmpl w:val="54A80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F562F1"/>
    <w:multiLevelType w:val="hybridMultilevel"/>
    <w:tmpl w:val="EB92D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3A342A"/>
    <w:multiLevelType w:val="hybridMultilevel"/>
    <w:tmpl w:val="F54885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457DE4"/>
    <w:multiLevelType w:val="hybridMultilevel"/>
    <w:tmpl w:val="B6B604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"/>
  </w:num>
  <w:num w:numId="3">
    <w:abstractNumId w:val="30"/>
  </w:num>
  <w:num w:numId="4">
    <w:abstractNumId w:val="3"/>
  </w:num>
  <w:num w:numId="5">
    <w:abstractNumId w:val="15"/>
  </w:num>
  <w:num w:numId="6">
    <w:abstractNumId w:val="9"/>
  </w:num>
  <w:num w:numId="7">
    <w:abstractNumId w:val="14"/>
  </w:num>
  <w:num w:numId="8">
    <w:abstractNumId w:val="11"/>
  </w:num>
  <w:num w:numId="9">
    <w:abstractNumId w:val="0"/>
  </w:num>
  <w:num w:numId="10">
    <w:abstractNumId w:val="19"/>
  </w:num>
  <w:num w:numId="11">
    <w:abstractNumId w:val="26"/>
  </w:num>
  <w:num w:numId="12">
    <w:abstractNumId w:val="5"/>
  </w:num>
  <w:num w:numId="13">
    <w:abstractNumId w:val="18"/>
  </w:num>
  <w:num w:numId="14">
    <w:abstractNumId w:val="29"/>
  </w:num>
  <w:num w:numId="15">
    <w:abstractNumId w:val="22"/>
  </w:num>
  <w:num w:numId="16">
    <w:abstractNumId w:val="16"/>
  </w:num>
  <w:num w:numId="17">
    <w:abstractNumId w:val="2"/>
  </w:num>
  <w:num w:numId="18">
    <w:abstractNumId w:val="17"/>
  </w:num>
  <w:num w:numId="19">
    <w:abstractNumId w:val="20"/>
  </w:num>
  <w:num w:numId="20">
    <w:abstractNumId w:val="7"/>
  </w:num>
  <w:num w:numId="21">
    <w:abstractNumId w:val="4"/>
  </w:num>
  <w:num w:numId="22">
    <w:abstractNumId w:val="23"/>
  </w:num>
  <w:num w:numId="23">
    <w:abstractNumId w:val="27"/>
  </w:num>
  <w:num w:numId="24">
    <w:abstractNumId w:val="10"/>
  </w:num>
  <w:num w:numId="25">
    <w:abstractNumId w:val="13"/>
  </w:num>
  <w:num w:numId="26">
    <w:abstractNumId w:val="25"/>
  </w:num>
  <w:num w:numId="27">
    <w:abstractNumId w:val="1"/>
  </w:num>
  <w:num w:numId="28">
    <w:abstractNumId w:val="12"/>
  </w:num>
  <w:num w:numId="29">
    <w:abstractNumId w:val="31"/>
  </w:num>
  <w:num w:numId="30">
    <w:abstractNumId w:val="24"/>
  </w:num>
  <w:num w:numId="31">
    <w:abstractNumId w:val="8"/>
  </w:num>
  <w:num w:numId="32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0sjAzNjMwsTA0MDdV0lEKTi0uzszPAykwM68FADYnanstAAAA"/>
  </w:docVars>
  <w:rsids>
    <w:rsidRoot w:val="00850C99"/>
    <w:rsid w:val="000036FE"/>
    <w:rsid w:val="00004EFB"/>
    <w:rsid w:val="0001056E"/>
    <w:rsid w:val="0002117D"/>
    <w:rsid w:val="00022DFA"/>
    <w:rsid w:val="00022F83"/>
    <w:rsid w:val="0002321C"/>
    <w:rsid w:val="00027549"/>
    <w:rsid w:val="00031E83"/>
    <w:rsid w:val="00035902"/>
    <w:rsid w:val="00035C62"/>
    <w:rsid w:val="0007402F"/>
    <w:rsid w:val="00085646"/>
    <w:rsid w:val="000A6DE3"/>
    <w:rsid w:val="000B51C6"/>
    <w:rsid w:val="000C374A"/>
    <w:rsid w:val="000E3BE9"/>
    <w:rsid w:val="000F0F36"/>
    <w:rsid w:val="000F17BA"/>
    <w:rsid w:val="000F4846"/>
    <w:rsid w:val="000F7AE8"/>
    <w:rsid w:val="0010144D"/>
    <w:rsid w:val="00116986"/>
    <w:rsid w:val="001310DB"/>
    <w:rsid w:val="00134626"/>
    <w:rsid w:val="001347B3"/>
    <w:rsid w:val="00144109"/>
    <w:rsid w:val="00145985"/>
    <w:rsid w:val="0015067D"/>
    <w:rsid w:val="00150829"/>
    <w:rsid w:val="00156FEA"/>
    <w:rsid w:val="00165FCB"/>
    <w:rsid w:val="0017259E"/>
    <w:rsid w:val="00175BE4"/>
    <w:rsid w:val="00193AEA"/>
    <w:rsid w:val="0019748C"/>
    <w:rsid w:val="001A4731"/>
    <w:rsid w:val="001B4804"/>
    <w:rsid w:val="001B61D9"/>
    <w:rsid w:val="001C1A6C"/>
    <w:rsid w:val="001C312A"/>
    <w:rsid w:val="001D0BC9"/>
    <w:rsid w:val="001D5007"/>
    <w:rsid w:val="001F2741"/>
    <w:rsid w:val="00201067"/>
    <w:rsid w:val="0021641A"/>
    <w:rsid w:val="00220502"/>
    <w:rsid w:val="00244CBC"/>
    <w:rsid w:val="0025798B"/>
    <w:rsid w:val="00263DD3"/>
    <w:rsid w:val="00281770"/>
    <w:rsid w:val="002876B4"/>
    <w:rsid w:val="00293EE5"/>
    <w:rsid w:val="002A2229"/>
    <w:rsid w:val="002A330C"/>
    <w:rsid w:val="002B1233"/>
    <w:rsid w:val="002B5BF5"/>
    <w:rsid w:val="002D7885"/>
    <w:rsid w:val="00306F9E"/>
    <w:rsid w:val="0031015D"/>
    <w:rsid w:val="003101F1"/>
    <w:rsid w:val="0031122A"/>
    <w:rsid w:val="003112F8"/>
    <w:rsid w:val="00311804"/>
    <w:rsid w:val="003163B3"/>
    <w:rsid w:val="0033044C"/>
    <w:rsid w:val="00345508"/>
    <w:rsid w:val="00363B03"/>
    <w:rsid w:val="003739FE"/>
    <w:rsid w:val="00374FFA"/>
    <w:rsid w:val="00385CD2"/>
    <w:rsid w:val="003A23E7"/>
    <w:rsid w:val="003A2F95"/>
    <w:rsid w:val="003A51D8"/>
    <w:rsid w:val="003B79A8"/>
    <w:rsid w:val="003B7A85"/>
    <w:rsid w:val="003C45BD"/>
    <w:rsid w:val="003D0437"/>
    <w:rsid w:val="003D397C"/>
    <w:rsid w:val="003E1048"/>
    <w:rsid w:val="003E51AD"/>
    <w:rsid w:val="003F1135"/>
    <w:rsid w:val="003F422D"/>
    <w:rsid w:val="003F47B6"/>
    <w:rsid w:val="003F4AFB"/>
    <w:rsid w:val="00402CC6"/>
    <w:rsid w:val="004134C7"/>
    <w:rsid w:val="004172A8"/>
    <w:rsid w:val="00436A0B"/>
    <w:rsid w:val="00455251"/>
    <w:rsid w:val="004658B8"/>
    <w:rsid w:val="0048642F"/>
    <w:rsid w:val="00492D5F"/>
    <w:rsid w:val="00496CA0"/>
    <w:rsid w:val="004B5CA2"/>
    <w:rsid w:val="004C160C"/>
    <w:rsid w:val="004D338E"/>
    <w:rsid w:val="004E448D"/>
    <w:rsid w:val="004F06C7"/>
    <w:rsid w:val="00520408"/>
    <w:rsid w:val="005227D5"/>
    <w:rsid w:val="00526954"/>
    <w:rsid w:val="00527491"/>
    <w:rsid w:val="00533B65"/>
    <w:rsid w:val="0054397A"/>
    <w:rsid w:val="005467B2"/>
    <w:rsid w:val="0056674B"/>
    <w:rsid w:val="0057284F"/>
    <w:rsid w:val="00585F58"/>
    <w:rsid w:val="00597688"/>
    <w:rsid w:val="005A078B"/>
    <w:rsid w:val="005A11FC"/>
    <w:rsid w:val="005A28A4"/>
    <w:rsid w:val="005D18E4"/>
    <w:rsid w:val="005D24E4"/>
    <w:rsid w:val="005D2ED8"/>
    <w:rsid w:val="005D7314"/>
    <w:rsid w:val="005F3BDF"/>
    <w:rsid w:val="00604B8E"/>
    <w:rsid w:val="006079CE"/>
    <w:rsid w:val="00617619"/>
    <w:rsid w:val="006308CF"/>
    <w:rsid w:val="00634D3B"/>
    <w:rsid w:val="00635F1F"/>
    <w:rsid w:val="00637B2C"/>
    <w:rsid w:val="00644416"/>
    <w:rsid w:val="0065428B"/>
    <w:rsid w:val="00662A68"/>
    <w:rsid w:val="00682C04"/>
    <w:rsid w:val="00696F74"/>
    <w:rsid w:val="006A13D8"/>
    <w:rsid w:val="006A37ED"/>
    <w:rsid w:val="006B3837"/>
    <w:rsid w:val="006D07B1"/>
    <w:rsid w:val="006E0E0A"/>
    <w:rsid w:val="006E6852"/>
    <w:rsid w:val="006F0C6B"/>
    <w:rsid w:val="007105CA"/>
    <w:rsid w:val="007158F9"/>
    <w:rsid w:val="0072315E"/>
    <w:rsid w:val="00733F18"/>
    <w:rsid w:val="007371CC"/>
    <w:rsid w:val="00741D69"/>
    <w:rsid w:val="0075267D"/>
    <w:rsid w:val="0075300B"/>
    <w:rsid w:val="0075666C"/>
    <w:rsid w:val="00756D9E"/>
    <w:rsid w:val="0076710F"/>
    <w:rsid w:val="00785AEE"/>
    <w:rsid w:val="00787A04"/>
    <w:rsid w:val="00795FDD"/>
    <w:rsid w:val="007971B0"/>
    <w:rsid w:val="007A0833"/>
    <w:rsid w:val="007A211E"/>
    <w:rsid w:val="007A23FC"/>
    <w:rsid w:val="007B1ADF"/>
    <w:rsid w:val="007C31A4"/>
    <w:rsid w:val="007C4591"/>
    <w:rsid w:val="007C4F43"/>
    <w:rsid w:val="007D062F"/>
    <w:rsid w:val="007F0544"/>
    <w:rsid w:val="00813EAB"/>
    <w:rsid w:val="00820334"/>
    <w:rsid w:val="00823518"/>
    <w:rsid w:val="00831AEA"/>
    <w:rsid w:val="00850C99"/>
    <w:rsid w:val="00853307"/>
    <w:rsid w:val="00863A2A"/>
    <w:rsid w:val="00867980"/>
    <w:rsid w:val="00872303"/>
    <w:rsid w:val="00874517"/>
    <w:rsid w:val="00874D02"/>
    <w:rsid w:val="00875378"/>
    <w:rsid w:val="00876950"/>
    <w:rsid w:val="00883A09"/>
    <w:rsid w:val="008B050C"/>
    <w:rsid w:val="008C5B7C"/>
    <w:rsid w:val="008D417D"/>
    <w:rsid w:val="008E0889"/>
    <w:rsid w:val="008E226E"/>
    <w:rsid w:val="008E5568"/>
    <w:rsid w:val="008E7A56"/>
    <w:rsid w:val="008F2F64"/>
    <w:rsid w:val="009024B8"/>
    <w:rsid w:val="00905506"/>
    <w:rsid w:val="009065F5"/>
    <w:rsid w:val="0092151A"/>
    <w:rsid w:val="00922B9C"/>
    <w:rsid w:val="00923C73"/>
    <w:rsid w:val="00933AF4"/>
    <w:rsid w:val="00940761"/>
    <w:rsid w:val="0094490D"/>
    <w:rsid w:val="009563A0"/>
    <w:rsid w:val="0095641E"/>
    <w:rsid w:val="0098774F"/>
    <w:rsid w:val="0099750B"/>
    <w:rsid w:val="009A2B06"/>
    <w:rsid w:val="009B053A"/>
    <w:rsid w:val="009B65C7"/>
    <w:rsid w:val="009C30B9"/>
    <w:rsid w:val="009C45B6"/>
    <w:rsid w:val="009D072C"/>
    <w:rsid w:val="009D74ED"/>
    <w:rsid w:val="009E0FAF"/>
    <w:rsid w:val="009F177B"/>
    <w:rsid w:val="00A1454B"/>
    <w:rsid w:val="00A171EF"/>
    <w:rsid w:val="00A25122"/>
    <w:rsid w:val="00A32881"/>
    <w:rsid w:val="00A42BFD"/>
    <w:rsid w:val="00A51502"/>
    <w:rsid w:val="00A516C2"/>
    <w:rsid w:val="00A5670D"/>
    <w:rsid w:val="00A57502"/>
    <w:rsid w:val="00A610AF"/>
    <w:rsid w:val="00A6372C"/>
    <w:rsid w:val="00A757C4"/>
    <w:rsid w:val="00AB21E5"/>
    <w:rsid w:val="00AB5CA3"/>
    <w:rsid w:val="00AC0FCE"/>
    <w:rsid w:val="00AF48F8"/>
    <w:rsid w:val="00AF67E1"/>
    <w:rsid w:val="00B145BD"/>
    <w:rsid w:val="00B1529E"/>
    <w:rsid w:val="00B51E13"/>
    <w:rsid w:val="00B55960"/>
    <w:rsid w:val="00B60710"/>
    <w:rsid w:val="00B644CA"/>
    <w:rsid w:val="00B668B6"/>
    <w:rsid w:val="00B728CB"/>
    <w:rsid w:val="00B81E02"/>
    <w:rsid w:val="00B92702"/>
    <w:rsid w:val="00BA0FAC"/>
    <w:rsid w:val="00BC521D"/>
    <w:rsid w:val="00BD75A7"/>
    <w:rsid w:val="00BE5715"/>
    <w:rsid w:val="00BF663B"/>
    <w:rsid w:val="00BF7F98"/>
    <w:rsid w:val="00C03CCF"/>
    <w:rsid w:val="00C16864"/>
    <w:rsid w:val="00C1711B"/>
    <w:rsid w:val="00C2134F"/>
    <w:rsid w:val="00C310BF"/>
    <w:rsid w:val="00C31214"/>
    <w:rsid w:val="00C33B5C"/>
    <w:rsid w:val="00C40DEC"/>
    <w:rsid w:val="00C479EB"/>
    <w:rsid w:val="00C67AD1"/>
    <w:rsid w:val="00C74243"/>
    <w:rsid w:val="00C85369"/>
    <w:rsid w:val="00C86C73"/>
    <w:rsid w:val="00CA1335"/>
    <w:rsid w:val="00CA52DF"/>
    <w:rsid w:val="00CE0D46"/>
    <w:rsid w:val="00CE6F9F"/>
    <w:rsid w:val="00CF259E"/>
    <w:rsid w:val="00CF40F2"/>
    <w:rsid w:val="00D0186B"/>
    <w:rsid w:val="00D034BF"/>
    <w:rsid w:val="00D21877"/>
    <w:rsid w:val="00D23469"/>
    <w:rsid w:val="00D309F7"/>
    <w:rsid w:val="00D46373"/>
    <w:rsid w:val="00D535D6"/>
    <w:rsid w:val="00D56938"/>
    <w:rsid w:val="00D6215D"/>
    <w:rsid w:val="00D70382"/>
    <w:rsid w:val="00D8484D"/>
    <w:rsid w:val="00DA7F72"/>
    <w:rsid w:val="00DB1ED9"/>
    <w:rsid w:val="00DB297C"/>
    <w:rsid w:val="00DC460A"/>
    <w:rsid w:val="00DD4AA5"/>
    <w:rsid w:val="00DD4F10"/>
    <w:rsid w:val="00DE178E"/>
    <w:rsid w:val="00DF020D"/>
    <w:rsid w:val="00DF12B4"/>
    <w:rsid w:val="00E017CA"/>
    <w:rsid w:val="00E131BB"/>
    <w:rsid w:val="00E131EB"/>
    <w:rsid w:val="00E42F9C"/>
    <w:rsid w:val="00E44DFD"/>
    <w:rsid w:val="00E55B03"/>
    <w:rsid w:val="00E57642"/>
    <w:rsid w:val="00E64698"/>
    <w:rsid w:val="00E83304"/>
    <w:rsid w:val="00E8362B"/>
    <w:rsid w:val="00E86519"/>
    <w:rsid w:val="00E86C72"/>
    <w:rsid w:val="00E94534"/>
    <w:rsid w:val="00E94C30"/>
    <w:rsid w:val="00EB5068"/>
    <w:rsid w:val="00EC574B"/>
    <w:rsid w:val="00EC6ECB"/>
    <w:rsid w:val="00EC6F19"/>
    <w:rsid w:val="00ED1390"/>
    <w:rsid w:val="00ED4AA8"/>
    <w:rsid w:val="00EF33A1"/>
    <w:rsid w:val="00EF68CD"/>
    <w:rsid w:val="00F0749F"/>
    <w:rsid w:val="00F079E5"/>
    <w:rsid w:val="00F10FEB"/>
    <w:rsid w:val="00F20A6A"/>
    <w:rsid w:val="00F2462E"/>
    <w:rsid w:val="00F260F2"/>
    <w:rsid w:val="00F35916"/>
    <w:rsid w:val="00F84E86"/>
    <w:rsid w:val="00FB517B"/>
    <w:rsid w:val="00FB76BA"/>
    <w:rsid w:val="00FD6260"/>
    <w:rsid w:val="00FE0188"/>
    <w:rsid w:val="00FF044D"/>
    <w:rsid w:val="00FF28FA"/>
    <w:rsid w:val="00FF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5A731"/>
  <w15:chartTrackingRefBased/>
  <w15:docId w15:val="{37953C66-07D9-4013-8CD9-E3F5A4A3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0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7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F7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105C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93AE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383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5B0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6C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6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51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98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8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2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3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4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4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2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2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yavapai.hosted.panopto.com/Panopto/Pages/Viewer.aspx?id=55adfef0-b702-4556-89d7-ae67011ecc2b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A9074DCD8C9A47B9DFEA62E3BB3819" ma:contentTypeVersion="6" ma:contentTypeDescription="Create a new document." ma:contentTypeScope="" ma:versionID="18e02a7e1f2c619cf8e7902a137b9b0f">
  <xsd:schema xmlns:xsd="http://www.w3.org/2001/XMLSchema" xmlns:xs="http://www.w3.org/2001/XMLSchema" xmlns:p="http://schemas.microsoft.com/office/2006/metadata/properties" xmlns:ns3="cab452ae-721f-4fff-b22f-551bc0a953d2" targetNamespace="http://schemas.microsoft.com/office/2006/metadata/properties" ma:root="true" ma:fieldsID="fa7c143cc0fe16f93b44eea2629a4a02" ns3:_="">
    <xsd:import namespace="cab452ae-721f-4fff-b22f-551bc0a953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452ae-721f-4fff-b22f-551bc0a953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A8DF8-B1F0-48ED-B156-08DB9BD11513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cab452ae-721f-4fff-b22f-551bc0a953d2"/>
  </ds:schemaRefs>
</ds:datastoreItem>
</file>

<file path=customXml/itemProps2.xml><?xml version="1.0" encoding="utf-8"?>
<ds:datastoreItem xmlns:ds="http://schemas.openxmlformats.org/officeDocument/2006/customXml" ds:itemID="{9A795DF0-7B1C-403D-9451-E3AA243E78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452ae-721f-4fff-b22f-551bc0a953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913FB2-1178-47E6-A177-8C6A143682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79E6E4-EDCB-4E07-B288-A61F767D2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Yavapai College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Stock, Susanne</dc:creator>
  <cp:keywords/>
  <dc:description/>
  <cp:lastModifiedBy>Hughes, Tom</cp:lastModifiedBy>
  <cp:revision>2</cp:revision>
  <cp:lastPrinted>2018-04-09T20:17:00Z</cp:lastPrinted>
  <dcterms:created xsi:type="dcterms:W3CDTF">2022-03-31T16:53:00Z</dcterms:created>
  <dcterms:modified xsi:type="dcterms:W3CDTF">2022-03-31T16:53:00Z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0x010100A4A9074DCD8C9A47B9DFEA62E3BB3819</vt:lpwstr>
  </property>
</Properties>
</file>