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DC" w:rsidRDefault="009E6227" w:rsidP="00AE48DC">
      <w:pPr>
        <w:spacing w:line="360" w:lineRule="auto"/>
        <w:jc w:val="center"/>
        <w:rPr>
          <w:b/>
        </w:rPr>
      </w:pPr>
      <w:r>
        <w:rPr>
          <w:b/>
        </w:rPr>
        <w:t>ISSUANCE AND POST-</w:t>
      </w:r>
      <w:r w:rsidR="00AE48DC">
        <w:rPr>
          <w:b/>
        </w:rPr>
        <w:t>ISSUANCE COMPLIANCE P</w:t>
      </w:r>
      <w:r w:rsidR="007A5BED">
        <w:rPr>
          <w:b/>
        </w:rPr>
        <w:t>ROCEDURES</w:t>
      </w:r>
    </w:p>
    <w:p w:rsidR="00AE48DC" w:rsidRDefault="009E6227" w:rsidP="00AE48DC">
      <w:pPr>
        <w:spacing w:line="360" w:lineRule="auto"/>
        <w:jc w:val="center"/>
        <w:rPr>
          <w:b/>
        </w:rPr>
      </w:pPr>
      <w:r>
        <w:rPr>
          <w:b/>
        </w:rPr>
        <w:t xml:space="preserve">RELATING TO </w:t>
      </w:r>
      <w:r w:rsidR="00AE48DC">
        <w:rPr>
          <w:b/>
        </w:rPr>
        <w:t xml:space="preserve">TAX-EXEMPT </w:t>
      </w:r>
      <w:r w:rsidR="007A5BED">
        <w:rPr>
          <w:b/>
        </w:rPr>
        <w:t>BONDS</w:t>
      </w:r>
      <w:r w:rsidR="00036498">
        <w:rPr>
          <w:b/>
        </w:rPr>
        <w:t xml:space="preserve"> AND OTHER TAX-EXEMPT FINANCINGS</w:t>
      </w:r>
      <w:r w:rsidR="00AE48DC">
        <w:rPr>
          <w:b/>
        </w:rPr>
        <w:t xml:space="preserve"> </w:t>
      </w:r>
    </w:p>
    <w:p w:rsidR="0071020D" w:rsidRDefault="00AE48DC" w:rsidP="00AE48DC">
      <w:pPr>
        <w:spacing w:line="360" w:lineRule="auto"/>
        <w:jc w:val="center"/>
        <w:rPr>
          <w:b/>
        </w:rPr>
      </w:pPr>
      <w:r>
        <w:rPr>
          <w:b/>
        </w:rPr>
        <w:t xml:space="preserve">FOR THE </w:t>
      </w:r>
      <w:r w:rsidR="005A7641">
        <w:rPr>
          <w:b/>
        </w:rPr>
        <w:t>YAVAPAI</w:t>
      </w:r>
      <w:r w:rsidR="0071020D">
        <w:rPr>
          <w:b/>
        </w:rPr>
        <w:t xml:space="preserve"> COUNTY COMMUNITY COLLEGE </w:t>
      </w:r>
    </w:p>
    <w:p w:rsidR="009E6227" w:rsidRDefault="0071020D" w:rsidP="00AE48DC">
      <w:pPr>
        <w:spacing w:line="360" w:lineRule="auto"/>
        <w:jc w:val="center"/>
        <w:rPr>
          <w:b/>
        </w:rPr>
      </w:pPr>
      <w:r>
        <w:rPr>
          <w:b/>
        </w:rPr>
        <w:t xml:space="preserve">DISTRICT OF </w:t>
      </w:r>
      <w:r w:rsidR="005A7641">
        <w:rPr>
          <w:b/>
        </w:rPr>
        <w:t>YAVAPAI</w:t>
      </w:r>
      <w:r>
        <w:rPr>
          <w:b/>
        </w:rPr>
        <w:t xml:space="preserve"> COUNTY</w:t>
      </w:r>
      <w:r w:rsidR="008C02FC">
        <w:rPr>
          <w:b/>
        </w:rPr>
        <w:t>, ARIZONA</w:t>
      </w:r>
    </w:p>
    <w:p w:rsidR="00794F0C" w:rsidRDefault="00794F0C" w:rsidP="005156A4">
      <w:pPr>
        <w:spacing w:line="360" w:lineRule="auto"/>
        <w:jc w:val="both"/>
        <w:rPr>
          <w:b/>
        </w:rPr>
        <w:sectPr w:rsidR="00794F0C">
          <w:footerReference w:type="default" r:id="rId7"/>
          <w:pgSz w:w="12240" w:h="15840"/>
          <w:pgMar w:top="1440" w:right="1440" w:bottom="1440" w:left="1440" w:header="720" w:footer="720" w:gutter="0"/>
          <w:cols w:space="720"/>
          <w:docGrid w:linePitch="360"/>
        </w:sectPr>
      </w:pPr>
    </w:p>
    <w:p w:rsidR="00AE48DC" w:rsidRDefault="00AE48DC" w:rsidP="005156A4">
      <w:pPr>
        <w:spacing w:line="360" w:lineRule="auto"/>
        <w:jc w:val="both"/>
        <w:rPr>
          <w:b/>
        </w:rPr>
      </w:pPr>
    </w:p>
    <w:p w:rsidR="009E6227" w:rsidRPr="00672D91" w:rsidRDefault="009E6227" w:rsidP="005156A4">
      <w:pPr>
        <w:spacing w:line="360" w:lineRule="auto"/>
        <w:jc w:val="both"/>
        <w:rPr>
          <w:b/>
          <w:u w:val="single"/>
        </w:rPr>
      </w:pPr>
      <w:r w:rsidRPr="00672D91">
        <w:t>Date of Implementation:</w:t>
      </w:r>
      <w:r w:rsidR="007A5BED">
        <w:rPr>
          <w:b/>
        </w:rPr>
        <w:t xml:space="preserve">  </w:t>
      </w:r>
      <w:r w:rsidR="00672D91" w:rsidRPr="00672D91">
        <w:rPr>
          <w:b/>
          <w:u w:val="single"/>
        </w:rPr>
        <w:t>February 1</w:t>
      </w:r>
      <w:r w:rsidR="007A5BED" w:rsidRPr="00672D91">
        <w:rPr>
          <w:b/>
          <w:u w:val="single"/>
        </w:rPr>
        <w:t xml:space="preserve">, </w:t>
      </w:r>
      <w:r w:rsidR="002B5239" w:rsidRPr="00672D91">
        <w:rPr>
          <w:b/>
          <w:u w:val="single"/>
        </w:rPr>
        <w:t>201</w:t>
      </w:r>
      <w:r w:rsidR="00F44A7A" w:rsidRPr="00672D91">
        <w:rPr>
          <w:b/>
          <w:u w:val="single"/>
        </w:rPr>
        <w:t>2</w:t>
      </w:r>
    </w:p>
    <w:p w:rsidR="009E6227" w:rsidRDefault="009E6227" w:rsidP="005156A4">
      <w:pPr>
        <w:spacing w:line="360" w:lineRule="auto"/>
        <w:jc w:val="both"/>
        <w:rPr>
          <w:b/>
        </w:rPr>
      </w:pPr>
    </w:p>
    <w:p w:rsidR="00F3779D" w:rsidRPr="00131C63" w:rsidRDefault="005156A4" w:rsidP="005156A4">
      <w:pPr>
        <w:spacing w:line="360" w:lineRule="auto"/>
        <w:jc w:val="both"/>
        <w:rPr>
          <w:b/>
        </w:rPr>
      </w:pPr>
      <w:r w:rsidRPr="00131C63">
        <w:rPr>
          <w:b/>
        </w:rPr>
        <w:t>I.</w:t>
      </w:r>
      <w:r w:rsidRPr="00131C63">
        <w:rPr>
          <w:b/>
        </w:rPr>
        <w:tab/>
      </w:r>
      <w:r w:rsidRPr="00E556CE">
        <w:rPr>
          <w:b/>
          <w:caps/>
          <w:u w:val="single"/>
        </w:rPr>
        <w:t>Introduction</w:t>
      </w:r>
    </w:p>
    <w:p w:rsidR="005156A4" w:rsidRDefault="005156A4" w:rsidP="005156A4">
      <w:pPr>
        <w:spacing w:line="360" w:lineRule="auto"/>
        <w:jc w:val="both"/>
      </w:pPr>
      <w:r>
        <w:tab/>
        <w:t xml:space="preserve">Many conditions, restrictions and requirements must be complied with to </w:t>
      </w:r>
      <w:r w:rsidR="00AE48DC">
        <w:t xml:space="preserve">permit and </w:t>
      </w:r>
      <w:r>
        <w:t xml:space="preserve">preserve the tax-exempt </w:t>
      </w:r>
      <w:r w:rsidR="00531017">
        <w:t xml:space="preserve">treatment of general obligation </w:t>
      </w:r>
      <w:r>
        <w:t>bonds</w:t>
      </w:r>
      <w:r w:rsidR="00531017">
        <w:t>, revenue bonds, lease-purchase agreements</w:t>
      </w:r>
      <w:r>
        <w:t xml:space="preserve"> and other </w:t>
      </w:r>
      <w:r w:rsidR="00AA7D87">
        <w:t xml:space="preserve">tax-exempt </w:t>
      </w:r>
      <w:r>
        <w:t>financing</w:t>
      </w:r>
      <w:r w:rsidR="007A5BED">
        <w:t>s</w:t>
      </w:r>
      <w:r w:rsidR="00AE48DC">
        <w:t xml:space="preserve"> by the </w:t>
      </w:r>
      <w:r w:rsidR="005A7641">
        <w:t>Yavapai</w:t>
      </w:r>
      <w:r w:rsidR="00F44A7A">
        <w:t xml:space="preserve"> </w:t>
      </w:r>
      <w:r w:rsidR="0071020D">
        <w:t xml:space="preserve">County Community College District of </w:t>
      </w:r>
      <w:r w:rsidR="005A7641">
        <w:t>Yavapai</w:t>
      </w:r>
      <w:r w:rsidR="00F44A7A">
        <w:t xml:space="preserve"> </w:t>
      </w:r>
      <w:r w:rsidR="0071020D">
        <w:t>County, Arizona</w:t>
      </w:r>
      <w:r w:rsidR="002B5239">
        <w:t xml:space="preserve"> (the "</w:t>
      </w:r>
      <w:r w:rsidR="0071020D">
        <w:t>District</w:t>
      </w:r>
      <w:r w:rsidR="002B5239">
        <w:t>")</w:t>
      </w:r>
      <w:r>
        <w:t xml:space="preserve">.  Prior to issuance, the </w:t>
      </w:r>
      <w:r w:rsidR="0071020D">
        <w:t>District</w:t>
      </w:r>
      <w:r>
        <w:t xml:space="preserve"> and its bond counsel will review the facts and the reasonable expectations to determine if the issue will comply with these conditions, restrictions and requirements at the time of issuance.  There are </w:t>
      </w:r>
      <w:r w:rsidR="00773850">
        <w:t>certain actions</w:t>
      </w:r>
      <w:r>
        <w:t xml:space="preserve"> the </w:t>
      </w:r>
      <w:r w:rsidR="0071020D">
        <w:t>District</w:t>
      </w:r>
      <w:r>
        <w:t xml:space="preserve"> must do after issuance to preserve the favorable tax treatment and certain actions of the </w:t>
      </w:r>
      <w:r w:rsidR="0071020D">
        <w:t>District</w:t>
      </w:r>
      <w:r>
        <w:t xml:space="preserve"> after issuance can adversely affect the tax treatment.  In addition, the </w:t>
      </w:r>
      <w:r w:rsidR="0071020D">
        <w:t>District</w:t>
      </w:r>
      <w:r>
        <w:t xml:space="preserve"> must maintain proper records </w:t>
      </w:r>
      <w:r w:rsidR="00773850">
        <w:t>to demonstrate</w:t>
      </w:r>
      <w:r>
        <w:t xml:space="preserve"> compliance.  Because tax benefits </w:t>
      </w:r>
      <w:r w:rsidR="00773850">
        <w:t>may be</w:t>
      </w:r>
      <w:r>
        <w:t xml:space="preserve"> critical to the investors' decision to purchase the bonds or other obligations, the </w:t>
      </w:r>
      <w:r w:rsidR="0071020D">
        <w:t>District</w:t>
      </w:r>
      <w:r>
        <w:t xml:space="preserve"> covenant</w:t>
      </w:r>
      <w:r w:rsidR="00AE48DC">
        <w:t>s</w:t>
      </w:r>
      <w:r>
        <w:t xml:space="preserve"> to the bond purchasers</w:t>
      </w:r>
      <w:r w:rsidR="00CA7466">
        <w:t xml:space="preserve"> </w:t>
      </w:r>
      <w:r>
        <w:t>to comply with all of the conditions, restrictions and requirements throughout the life of the bonds.</w:t>
      </w:r>
    </w:p>
    <w:p w:rsidR="005156A4" w:rsidRDefault="005156A4" w:rsidP="005156A4">
      <w:pPr>
        <w:spacing w:line="360" w:lineRule="auto"/>
        <w:jc w:val="both"/>
      </w:pPr>
      <w:r>
        <w:tab/>
        <w:t xml:space="preserve">Failure to comply may cause the </w:t>
      </w:r>
      <w:r w:rsidR="0071020D">
        <w:t>District</w:t>
      </w:r>
      <w:r>
        <w:t xml:space="preserve"> </w:t>
      </w:r>
      <w:r w:rsidR="009E6227">
        <w:t xml:space="preserve">to be </w:t>
      </w:r>
      <w:r>
        <w:t>(a) liable to the bondholders, (b) subject t</w:t>
      </w:r>
      <w:r w:rsidR="0071020D">
        <w:t>o enforcement action by the IRS</w:t>
      </w:r>
      <w:r w:rsidR="00CA7466">
        <w:t xml:space="preserve"> </w:t>
      </w:r>
      <w:r>
        <w:t>and (</w:t>
      </w:r>
      <w:r w:rsidR="0071020D">
        <w:t>c</w:t>
      </w:r>
      <w:r>
        <w:t xml:space="preserve">) subject to enforcement action by the Securities Exchange Commission.  Therefore, it is important that the </w:t>
      </w:r>
      <w:r w:rsidR="0071020D">
        <w:t>District</w:t>
      </w:r>
      <w:r>
        <w:t xml:space="preserve"> take the necessary action to ensure compliance with the conditions, restrictions and requirements applicable to each bond or other financing.</w:t>
      </w:r>
    </w:p>
    <w:p w:rsidR="008C02FC" w:rsidRDefault="005156A4" w:rsidP="005156A4">
      <w:pPr>
        <w:spacing w:line="360" w:lineRule="auto"/>
        <w:jc w:val="both"/>
      </w:pPr>
      <w:r>
        <w:tab/>
        <w:t xml:space="preserve">To ensure compliance, the </w:t>
      </w:r>
      <w:r w:rsidR="0071020D">
        <w:t>District</w:t>
      </w:r>
      <w:r>
        <w:t xml:space="preserve"> must identify a single person with overall compliance responsibility.  The </w:t>
      </w:r>
      <w:r w:rsidR="00E549BF">
        <w:t>Vice President of Finance and Administration</w:t>
      </w:r>
      <w:r w:rsidR="00171CA2">
        <w:t xml:space="preserve">, or </w:t>
      </w:r>
      <w:r w:rsidR="0037436E">
        <w:t xml:space="preserve">his or her </w:t>
      </w:r>
      <w:r w:rsidR="00171CA2">
        <w:t>designee,</w:t>
      </w:r>
      <w:r w:rsidR="009E7AC1">
        <w:t xml:space="preserve"> </w:t>
      </w:r>
      <w:r>
        <w:t xml:space="preserve">will be the responsible person and is referred to in these procedures as the </w:t>
      </w:r>
      <w:r w:rsidR="002B5239">
        <w:t>"</w:t>
      </w:r>
      <w:r>
        <w:t>Bond Compliance Official.</w:t>
      </w:r>
      <w:r w:rsidR="002B5239">
        <w:t>"</w:t>
      </w:r>
      <w:r>
        <w:t xml:space="preserve">  Anyone with any questions about the bonds</w:t>
      </w:r>
      <w:r w:rsidR="00AE48DC">
        <w:t>, the proceeds of the bonds, the facilities financed with the bonds</w:t>
      </w:r>
      <w:r>
        <w:t xml:space="preserve"> or compliance with the conditions, restrictions and requirements should discuss them with the Bond Compliance Official</w:t>
      </w:r>
      <w:r w:rsidR="00AE48DC">
        <w:t xml:space="preserve"> who shall, as necessary, discuss them with bond </w:t>
      </w:r>
      <w:r w:rsidR="00AE48DC">
        <w:lastRenderedPageBreak/>
        <w:t>counsel</w:t>
      </w:r>
      <w:r>
        <w:t>.</w:t>
      </w:r>
      <w:r w:rsidR="00AE48DC">
        <w:t xml:space="preserve">  The Bond Compliance Official shall meet with bond counsel to discuss these requirements and from time to time any changes in these requirements.</w:t>
      </w:r>
      <w:r w:rsidR="00FF39DF">
        <w:t xml:space="preserve">  In the event the </w:t>
      </w:r>
      <w:r w:rsidR="0071020D">
        <w:t>District</w:t>
      </w:r>
      <w:r w:rsidR="00FF39DF">
        <w:t xml:space="preserve"> fails to comply with these procedures, the Bond Compliance Official shall meet with bond counsel as soon as </w:t>
      </w:r>
      <w:r w:rsidR="00036498">
        <w:t xml:space="preserve">practicable after the discovery of the failure to comply in order </w:t>
      </w:r>
      <w:r w:rsidR="00FF39DF">
        <w:t>to discuss the steps required to correct the noncompliance.</w:t>
      </w:r>
    </w:p>
    <w:p w:rsidR="005156A4" w:rsidRDefault="005156A4" w:rsidP="005156A4">
      <w:pPr>
        <w:spacing w:line="360" w:lineRule="auto"/>
        <w:jc w:val="both"/>
      </w:pPr>
      <w:r>
        <w:tab/>
      </w:r>
      <w:r>
        <w:rPr>
          <w:b/>
        </w:rPr>
        <w:t>1.</w:t>
      </w:r>
      <w:r>
        <w:rPr>
          <w:b/>
        </w:rPr>
        <w:tab/>
      </w:r>
      <w:r w:rsidRPr="00E556CE">
        <w:rPr>
          <w:b/>
          <w:caps/>
          <w:u w:val="single"/>
        </w:rPr>
        <w:t>Investment of Proceeds Until Expended</w:t>
      </w:r>
      <w:r w:rsidRPr="00E556CE">
        <w:rPr>
          <w:b/>
          <w:caps/>
        </w:rPr>
        <w:t>.</w:t>
      </w:r>
    </w:p>
    <w:p w:rsidR="00AE48DC" w:rsidRDefault="005156A4" w:rsidP="005156A4">
      <w:pPr>
        <w:spacing w:line="360" w:lineRule="auto"/>
        <w:jc w:val="both"/>
      </w:pPr>
      <w:r>
        <w:tab/>
      </w:r>
      <w:r>
        <w:tab/>
      </w:r>
      <w:r w:rsidR="00AE48DC">
        <w:t xml:space="preserve">Detailed records of investments and earnings will be made and kept by the </w:t>
      </w:r>
      <w:r w:rsidR="0071020D">
        <w:t>District</w:t>
      </w:r>
      <w:r w:rsidR="00AE48DC">
        <w:t xml:space="preserve"> with respect to all bond proceeds.</w:t>
      </w:r>
    </w:p>
    <w:p w:rsidR="005156A4" w:rsidRDefault="00AE48DC" w:rsidP="005156A4">
      <w:pPr>
        <w:spacing w:line="360" w:lineRule="auto"/>
        <w:jc w:val="both"/>
      </w:pPr>
      <w:r>
        <w:tab/>
      </w:r>
      <w:r>
        <w:tab/>
      </w:r>
      <w:r w:rsidR="005156A4">
        <w:t xml:space="preserve">Generally, proceeds of bonds cannot be invested at a yield higher than the bond yield unless during certain specific temporary periods.  </w:t>
      </w:r>
      <w:proofErr w:type="gramStart"/>
      <w:r w:rsidR="005156A4">
        <w:t xml:space="preserve">Therefore, prior to closing, the </w:t>
      </w:r>
      <w:r w:rsidR="008C02FC">
        <w:t xml:space="preserve">Bond Compliance Official </w:t>
      </w:r>
      <w:r w:rsidR="005156A4">
        <w:t>will determine with bond counsel which funds do or do not qualify for a temporary period.</w:t>
      </w:r>
      <w:proofErr w:type="gramEnd"/>
      <w:r w:rsidR="005156A4">
        <w:t xml:space="preserve">  Qualifying information will be set out in a tax certificate.  No proceeds will be invested at a yield higher than the bond yield unless they qualify.  If the actual facts regarding the use of proceeds changes from what was reasonably expected at closing, the </w:t>
      </w:r>
      <w:r w:rsidR="008C02FC">
        <w:t>Bond Compliance Official</w:t>
      </w:r>
      <w:r w:rsidR="005156A4">
        <w:t xml:space="preserve"> will discuss those changes with bond counsel to see if the temporary periods are changed.</w:t>
      </w:r>
    </w:p>
    <w:p w:rsidR="00AE48DC" w:rsidRDefault="00AE48DC" w:rsidP="005156A4">
      <w:pPr>
        <w:spacing w:line="360" w:lineRule="auto"/>
        <w:jc w:val="both"/>
      </w:pPr>
      <w:r>
        <w:tab/>
      </w:r>
      <w:r>
        <w:tab/>
        <w:t xml:space="preserve">Bond proceeds include the amount received from the sale of the bonds, amounts held in a payment or reserve fund for the bonds </w:t>
      </w:r>
      <w:r w:rsidRPr="009E7AC1">
        <w:rPr>
          <w:b/>
          <w:i/>
        </w:rPr>
        <w:t>and investment earnings on those amounts</w:t>
      </w:r>
      <w:r>
        <w:t xml:space="preserve">.  </w:t>
      </w:r>
    </w:p>
    <w:p w:rsidR="005156A4" w:rsidRDefault="005156A4" w:rsidP="005156A4">
      <w:pPr>
        <w:spacing w:line="360" w:lineRule="auto"/>
        <w:jc w:val="both"/>
      </w:pPr>
      <w:r>
        <w:tab/>
      </w:r>
      <w:r>
        <w:tab/>
        <w:t>The proceeds will not be invested in any investment where a yield cannot be determined.</w:t>
      </w:r>
    </w:p>
    <w:p w:rsidR="00AE48DC" w:rsidRDefault="005156A4" w:rsidP="005156A4">
      <w:pPr>
        <w:spacing w:line="360" w:lineRule="auto"/>
        <w:jc w:val="both"/>
      </w:pPr>
      <w:r>
        <w:tab/>
      </w:r>
      <w:r>
        <w:tab/>
        <w:t xml:space="preserve">Any investment in a guaranteed investment contract or similar investment agreement will only be made in compliance with the bidding requirements as reviewed by bond counsel.  </w:t>
      </w:r>
    </w:p>
    <w:p w:rsidR="00773850" w:rsidRDefault="00AE48DC" w:rsidP="00773850">
      <w:pPr>
        <w:spacing w:line="360" w:lineRule="auto"/>
        <w:jc w:val="both"/>
      </w:pPr>
      <w:r>
        <w:tab/>
      </w:r>
      <w:r>
        <w:tab/>
      </w:r>
      <w:r w:rsidR="005156A4">
        <w:t xml:space="preserve">Bond proceeds will be invested so that they can be tracked separately from any other funds of the </w:t>
      </w:r>
      <w:r w:rsidR="0071020D">
        <w:t>District</w:t>
      </w:r>
      <w:r w:rsidR="005156A4">
        <w:t xml:space="preserve">.  </w:t>
      </w:r>
      <w:r w:rsidR="008C02FC">
        <w:t xml:space="preserve">The </w:t>
      </w:r>
      <w:r w:rsidR="0071020D">
        <w:t>District</w:t>
      </w:r>
      <w:r w:rsidR="008C02FC">
        <w:t xml:space="preserve"> will work with the </w:t>
      </w:r>
      <w:r w:rsidR="009E7AC1">
        <w:t xml:space="preserve">registrar, trustee or other applicable person or entity </w:t>
      </w:r>
      <w:r w:rsidR="008C02FC">
        <w:t>to be sure that invested earnings are properly allocated between bond proceeds and other funds.</w:t>
      </w:r>
    </w:p>
    <w:p w:rsidR="00B2517E" w:rsidRPr="00773850" w:rsidRDefault="00B2517E" w:rsidP="00773850">
      <w:pPr>
        <w:keepNext/>
        <w:spacing w:line="360" w:lineRule="auto"/>
        <w:ind w:firstLine="720"/>
        <w:jc w:val="both"/>
      </w:pPr>
      <w:r>
        <w:rPr>
          <w:b/>
        </w:rPr>
        <w:t>2.</w:t>
      </w:r>
      <w:r>
        <w:rPr>
          <w:b/>
        </w:rPr>
        <w:tab/>
      </w:r>
      <w:r w:rsidRPr="00E556CE">
        <w:rPr>
          <w:b/>
          <w:caps/>
          <w:u w:val="single"/>
        </w:rPr>
        <w:t>Use of Proceeds.</w:t>
      </w:r>
    </w:p>
    <w:p w:rsidR="00B2517E" w:rsidRDefault="00B2517E" w:rsidP="00773850">
      <w:pPr>
        <w:keepNext/>
        <w:spacing w:line="360" w:lineRule="auto"/>
        <w:jc w:val="both"/>
      </w:pPr>
      <w:r>
        <w:tab/>
      </w:r>
      <w:r>
        <w:tab/>
        <w:t xml:space="preserve">Detailed records will be made and kept by the </w:t>
      </w:r>
      <w:r w:rsidR="0071020D">
        <w:t>District</w:t>
      </w:r>
      <w:r>
        <w:t xml:space="preserve"> with regard</w:t>
      </w:r>
      <w:r w:rsidR="00773850">
        <w:t xml:space="preserve"> to the use of bond proceeds.  </w:t>
      </w:r>
      <w:proofErr w:type="gramStart"/>
      <w:r w:rsidR="00773850">
        <w:t>For each expenditure</w:t>
      </w:r>
      <w:proofErr w:type="gramEnd"/>
      <w:r w:rsidR="00773850">
        <w:t>, t</w:t>
      </w:r>
      <w:r>
        <w:t xml:space="preserve">he </w:t>
      </w:r>
      <w:r w:rsidR="00AE48DC">
        <w:t xml:space="preserve">amount, </w:t>
      </w:r>
      <w:r>
        <w:t xml:space="preserve">date of and purpose will be recorded.  </w:t>
      </w:r>
      <w:r w:rsidR="00AE48DC">
        <w:t xml:space="preserve">If the project is also funded with non-bond proceeds, the records will reflect an allocation of </w:t>
      </w:r>
      <w:r w:rsidR="00AE48DC">
        <w:lastRenderedPageBreak/>
        <w:t xml:space="preserve">expenditures </w:t>
      </w:r>
      <w:r w:rsidR="00E3015C">
        <w:t>between</w:t>
      </w:r>
      <w:r w:rsidR="00AE48DC">
        <w:t xml:space="preserve"> bond proceeds and other funds.  </w:t>
      </w:r>
      <w:r>
        <w:t>No proceeds will be used to reimburse an expenditure made prior to the issue date of the bonds unless the reimbursement requirement, including the prior declaration of intent to reimburse, has been fully complied with and evidence of such compliance is maintained.</w:t>
      </w:r>
      <w:r w:rsidR="008E040B">
        <w:t xml:space="preserve">  The </w:t>
      </w:r>
      <w:r w:rsidR="0071020D">
        <w:t>District’s</w:t>
      </w:r>
      <w:r w:rsidR="008E040B">
        <w:t xml:space="preserve"> </w:t>
      </w:r>
      <w:r w:rsidR="0071020D">
        <w:t>Governing Board</w:t>
      </w:r>
      <w:r w:rsidR="00036498">
        <w:t xml:space="preserve"> by taking action, or the</w:t>
      </w:r>
      <w:r w:rsidR="008E040B">
        <w:t xml:space="preserve"> </w:t>
      </w:r>
      <w:r w:rsidR="00F44A7A">
        <w:t>Chief Financial Officer</w:t>
      </w:r>
      <w:r w:rsidR="008E040B">
        <w:t xml:space="preserve">, or his or her </w:t>
      </w:r>
      <w:r w:rsidR="00FF39DF">
        <w:t xml:space="preserve">designee, </w:t>
      </w:r>
      <w:r w:rsidR="00ED5F61">
        <w:t>is</w:t>
      </w:r>
      <w:r w:rsidR="008E040B">
        <w:t xml:space="preserve"> authorized to complete the declaration of intent to reimburse.</w:t>
      </w:r>
    </w:p>
    <w:p w:rsidR="00B2517E" w:rsidRDefault="00B2517E" w:rsidP="005156A4">
      <w:pPr>
        <w:spacing w:line="360" w:lineRule="auto"/>
        <w:jc w:val="both"/>
      </w:pPr>
      <w:r>
        <w:tab/>
      </w:r>
      <w:r>
        <w:tab/>
        <w:t xml:space="preserve">The </w:t>
      </w:r>
      <w:r w:rsidR="0071020D">
        <w:t>District</w:t>
      </w:r>
      <w:r>
        <w:t xml:space="preserve"> is expected to exercise diligence to expend the proceeds, to enter into within six months of the issue </w:t>
      </w:r>
      <w:r w:rsidR="00131C63">
        <w:t>date</w:t>
      </w:r>
      <w:r>
        <w:t xml:space="preserve"> a binding contract to expend at least 10% of the proceeds and to have expended most of the proceeds within three years.  After the third anniversary of the issue, any remaining proceeds </w:t>
      </w:r>
      <w:r w:rsidR="00AE48DC">
        <w:t xml:space="preserve">in the construction account </w:t>
      </w:r>
      <w:r>
        <w:t>must be yield restricted.</w:t>
      </w:r>
    </w:p>
    <w:p w:rsidR="00385377" w:rsidRDefault="00AE48DC" w:rsidP="005156A4">
      <w:pPr>
        <w:spacing w:line="360" w:lineRule="auto"/>
        <w:jc w:val="both"/>
      </w:pPr>
      <w:r>
        <w:tab/>
      </w:r>
      <w:r>
        <w:tab/>
        <w:t>The Bond Compliance Official shall periodically review the progress of the projects and the expenditure of proceeds to ensure timely expenditure of proceeds.</w:t>
      </w:r>
    </w:p>
    <w:p w:rsidR="00B2517E" w:rsidRDefault="00B2517E" w:rsidP="005156A4">
      <w:pPr>
        <w:spacing w:line="360" w:lineRule="auto"/>
        <w:jc w:val="both"/>
      </w:pPr>
      <w:r>
        <w:tab/>
      </w:r>
      <w:r>
        <w:rPr>
          <w:b/>
        </w:rPr>
        <w:t>3.</w:t>
      </w:r>
      <w:r>
        <w:rPr>
          <w:b/>
        </w:rPr>
        <w:tab/>
      </w:r>
      <w:r w:rsidRPr="00E556CE">
        <w:rPr>
          <w:b/>
          <w:caps/>
          <w:u w:val="single"/>
        </w:rPr>
        <w:t>Use of Bond Financed Facilities</w:t>
      </w:r>
      <w:r>
        <w:rPr>
          <w:b/>
        </w:rPr>
        <w:t>.</w:t>
      </w:r>
    </w:p>
    <w:p w:rsidR="003D4BB7" w:rsidRDefault="00B2517E" w:rsidP="005156A4">
      <w:pPr>
        <w:spacing w:line="360" w:lineRule="auto"/>
        <w:jc w:val="both"/>
      </w:pPr>
      <w:r>
        <w:tab/>
      </w:r>
      <w:r>
        <w:tab/>
        <w:t xml:space="preserve">Detailed records of the use of proceeds will identify those facilities that are financed in whole or in part with bond proceeds and must reflect the </w:t>
      </w:r>
      <w:r w:rsidR="00AE48DC">
        <w:t>allocation</w:t>
      </w:r>
      <w:r>
        <w:t xml:space="preserve"> of bond proceeds </w:t>
      </w:r>
      <w:r w:rsidR="00AE48DC">
        <w:t>and</w:t>
      </w:r>
      <w:r>
        <w:t xml:space="preserve"> other funds used.</w:t>
      </w:r>
      <w:r w:rsidR="00FB1B5C">
        <w:t xml:space="preserve">  Any sale or lease to, or other agreement for use by, a private party in a trade or </w:t>
      </w:r>
      <w:r w:rsidR="00AE48DC">
        <w:t>business</w:t>
      </w:r>
      <w:r w:rsidR="00FB1B5C">
        <w:t xml:space="preserve"> can adversely affect the tax status of the bonds.  The </w:t>
      </w:r>
      <w:r w:rsidR="0071020D">
        <w:t>District</w:t>
      </w:r>
      <w:r w:rsidR="00FB1B5C">
        <w:t xml:space="preserve"> will not sell or lease any bond financed property or enter into any agreement with non-governmental entities for use or management of any bond financed property without a thorough review by the Bond Compliance Official and bond counsel.</w:t>
      </w:r>
      <w:r w:rsidR="00AE48DC">
        <w:t xml:space="preserve">  </w:t>
      </w:r>
      <w:r w:rsidR="00773850">
        <w:t xml:space="preserve">While not a comprehensive list, the Bond Compliance Official will review the following types of transactions with bond counsel prior to entering into any agreement with non-governmental entities or persons:  (a) the sale or lease of any bond financed property, (b) any management contracts with a food service provider or book store, (c) any research agreement and (d) public-private partnerships.  </w:t>
      </w:r>
      <w:r w:rsidR="00AE48DC">
        <w:t>The Bond Compliance Official shall periodically review the use of all bond financed facilities to ensure compliance with the private use restrictions.</w:t>
      </w:r>
      <w:r w:rsidR="006C41C7">
        <w:t xml:space="preserve">  In the event the </w:t>
      </w:r>
      <w:r w:rsidR="0071020D">
        <w:t>District</w:t>
      </w:r>
      <w:r w:rsidR="006C41C7">
        <w:t xml:space="preserve"> takes action that causes the bonds to meet the private business tests or private loan financing test, the Bond Compliance Official </w:t>
      </w:r>
      <w:r w:rsidR="00036498">
        <w:t>shall</w:t>
      </w:r>
      <w:r w:rsidR="006C41C7">
        <w:t xml:space="preserve"> meet with bond counsel as soon </w:t>
      </w:r>
      <w:r w:rsidR="00036498">
        <w:t>practicable after</w:t>
      </w:r>
      <w:r w:rsidR="006C41C7">
        <w:t xml:space="preserve"> the issue is discovered to discuss the steps required to correct the noncompliance</w:t>
      </w:r>
      <w:r w:rsidR="00FD2A7A">
        <w:t xml:space="preserve">, including, if necessary, redeeming or </w:t>
      </w:r>
      <w:proofErr w:type="spellStart"/>
      <w:r w:rsidR="00FD2A7A">
        <w:t>defeasing</w:t>
      </w:r>
      <w:proofErr w:type="spellEnd"/>
      <w:r w:rsidR="00FD2A7A">
        <w:t xml:space="preserve"> all of the bonds that meet the private business tests or private loan financing test</w:t>
      </w:r>
      <w:r w:rsidR="006C41C7">
        <w:t>.</w:t>
      </w:r>
    </w:p>
    <w:p w:rsidR="00FF39DF" w:rsidRDefault="00FB1B5C" w:rsidP="005156A4">
      <w:pPr>
        <w:spacing w:line="360" w:lineRule="auto"/>
        <w:jc w:val="both"/>
      </w:pPr>
      <w:r>
        <w:tab/>
      </w:r>
    </w:p>
    <w:p w:rsidR="00FB1B5C" w:rsidRDefault="00FB1B5C" w:rsidP="00FF39DF">
      <w:pPr>
        <w:spacing w:line="360" w:lineRule="auto"/>
        <w:ind w:firstLine="720"/>
        <w:jc w:val="both"/>
      </w:pPr>
      <w:r>
        <w:rPr>
          <w:b/>
        </w:rPr>
        <w:lastRenderedPageBreak/>
        <w:t>4.</w:t>
      </w:r>
      <w:r>
        <w:rPr>
          <w:b/>
        </w:rPr>
        <w:tab/>
      </w:r>
      <w:r w:rsidRPr="00E556CE">
        <w:rPr>
          <w:b/>
          <w:caps/>
          <w:u w:val="single"/>
        </w:rPr>
        <w:t>Arbitrage Rebate</w:t>
      </w:r>
      <w:r>
        <w:rPr>
          <w:b/>
        </w:rPr>
        <w:t>.</w:t>
      </w:r>
    </w:p>
    <w:p w:rsidR="00E556CE" w:rsidRDefault="00FB1B5C" w:rsidP="005156A4">
      <w:pPr>
        <w:spacing w:line="360" w:lineRule="auto"/>
        <w:jc w:val="both"/>
      </w:pPr>
      <w:r>
        <w:tab/>
      </w:r>
      <w:r>
        <w:tab/>
        <w:t xml:space="preserve">Any time that bond proceeds are permitted to be invested at a yield higher than the bond yield, the amount earned over the bond yield is arbitrage.  With certain exceptions, the </w:t>
      </w:r>
      <w:r w:rsidR="0071020D">
        <w:t>District</w:t>
      </w:r>
      <w:r>
        <w:t xml:space="preserve"> is obligated to pay over (rebate) to the </w:t>
      </w:r>
      <w:smartTag w:uri="urn:schemas-microsoft-com:office:smarttags" w:element="place">
        <w:smartTag w:uri="urn:schemas-microsoft-com:office:smarttags" w:element="country-region">
          <w:r>
            <w:t>United States</w:t>
          </w:r>
        </w:smartTag>
      </w:smartTag>
      <w:r>
        <w:t xml:space="preserve"> any arbitrage earned.  The </w:t>
      </w:r>
      <w:r w:rsidR="0071020D">
        <w:t>District</w:t>
      </w:r>
      <w:r>
        <w:t xml:space="preserve"> will keep complete and accurate records of all investments of bond proceeds</w:t>
      </w:r>
      <w:r w:rsidR="00AE48DC">
        <w:t xml:space="preserve"> and</w:t>
      </w:r>
      <w:r>
        <w:t xml:space="preserve"> all information supporting any applicable exceptions to the rebate requirement and will retain </w:t>
      </w:r>
      <w:r w:rsidR="008C02FC">
        <w:t xml:space="preserve">or ensure that the </w:t>
      </w:r>
      <w:r w:rsidR="009E7AC1">
        <w:t>registrar or trustee</w:t>
      </w:r>
      <w:r w:rsidR="008C02FC">
        <w:t xml:space="preserve"> has retained </w:t>
      </w:r>
      <w:r>
        <w:t xml:space="preserve">a professional rebate consultant to review the records and prepare a report so that the </w:t>
      </w:r>
      <w:r w:rsidR="0071020D">
        <w:t>District</w:t>
      </w:r>
      <w:r w:rsidR="008C02FC">
        <w:t xml:space="preserve"> or the </w:t>
      </w:r>
      <w:r w:rsidR="009E7AC1">
        <w:t xml:space="preserve">registrar or trustee </w:t>
      </w:r>
      <w:r>
        <w:t xml:space="preserve">can make any necessary rebate payments.  Unless exempt, </w:t>
      </w:r>
      <w:r w:rsidR="00ED5F61">
        <w:t xml:space="preserve">the District must, </w:t>
      </w:r>
      <w:r>
        <w:t>at a minimum</w:t>
      </w:r>
      <w:r w:rsidR="00ED5F61">
        <w:t>,</w:t>
      </w:r>
      <w:r>
        <w:t xml:space="preserve"> </w:t>
      </w:r>
      <w:r w:rsidR="00ED5F61">
        <w:t>make payments</w:t>
      </w:r>
      <w:r>
        <w:t xml:space="preserve"> at every fifth anniversary of the issue and upon final payment.  The Bond Compliance Official will review any exemption prior to each fifth anniversary </w:t>
      </w:r>
      <w:r w:rsidR="00AE48DC">
        <w:t xml:space="preserve">and upon final payment </w:t>
      </w:r>
      <w:r>
        <w:t>to determine if any facts have changed which might eliminate the exemption.</w:t>
      </w:r>
    </w:p>
    <w:p w:rsidR="00FB1B5C" w:rsidRDefault="00FB1B5C" w:rsidP="00A15FE4">
      <w:pPr>
        <w:keepNext/>
        <w:spacing w:line="360" w:lineRule="auto"/>
        <w:jc w:val="both"/>
      </w:pPr>
      <w:r>
        <w:tab/>
      </w:r>
      <w:r>
        <w:rPr>
          <w:b/>
        </w:rPr>
        <w:t>5.</w:t>
      </w:r>
      <w:r>
        <w:rPr>
          <w:b/>
        </w:rPr>
        <w:tab/>
      </w:r>
      <w:r w:rsidRPr="00E556CE">
        <w:rPr>
          <w:b/>
          <w:caps/>
          <w:u w:val="single"/>
        </w:rPr>
        <w:t>Record Retention</w:t>
      </w:r>
      <w:r>
        <w:rPr>
          <w:b/>
        </w:rPr>
        <w:t>.</w:t>
      </w:r>
    </w:p>
    <w:p w:rsidR="00FB1B5C" w:rsidRDefault="00FB1B5C" w:rsidP="00A15FE4">
      <w:pPr>
        <w:keepNext/>
        <w:spacing w:line="360" w:lineRule="auto"/>
        <w:jc w:val="both"/>
      </w:pPr>
      <w:r>
        <w:tab/>
      </w:r>
      <w:r>
        <w:tab/>
        <w:t>All records concerning the bond issue, including</w:t>
      </w:r>
    </w:p>
    <w:p w:rsidR="00FB1B5C" w:rsidRDefault="00FB1B5C" w:rsidP="005156A4">
      <w:pPr>
        <w:spacing w:line="360" w:lineRule="auto"/>
        <w:jc w:val="both"/>
      </w:pPr>
      <w:r>
        <w:tab/>
      </w:r>
      <w:r>
        <w:tab/>
        <w:t>a)</w:t>
      </w:r>
      <w:r>
        <w:tab/>
      </w:r>
      <w:proofErr w:type="gramStart"/>
      <w:r>
        <w:t>the</w:t>
      </w:r>
      <w:proofErr w:type="gramEnd"/>
      <w:r>
        <w:t xml:space="preserve"> transcript of the original proceedings,</w:t>
      </w:r>
    </w:p>
    <w:p w:rsidR="00FB1B5C" w:rsidRDefault="00FB1B5C" w:rsidP="005156A4">
      <w:pPr>
        <w:spacing w:line="360" w:lineRule="auto"/>
        <w:jc w:val="both"/>
      </w:pPr>
      <w:r>
        <w:tab/>
      </w:r>
      <w:r>
        <w:tab/>
        <w:t>b)</w:t>
      </w:r>
      <w:r>
        <w:tab/>
      </w:r>
      <w:proofErr w:type="gramStart"/>
      <w:r>
        <w:t>investment</w:t>
      </w:r>
      <w:proofErr w:type="gramEnd"/>
      <w:r>
        <w:t xml:space="preserve"> of proceeds,</w:t>
      </w:r>
    </w:p>
    <w:p w:rsidR="00FB1B5C" w:rsidRDefault="00FB1B5C" w:rsidP="008E040B">
      <w:pPr>
        <w:spacing w:line="360" w:lineRule="auto"/>
        <w:ind w:left="2160" w:hanging="720"/>
        <w:jc w:val="both"/>
      </w:pPr>
      <w:r>
        <w:t>c)</w:t>
      </w:r>
      <w:r>
        <w:tab/>
      </w:r>
      <w:proofErr w:type="gramStart"/>
      <w:r>
        <w:t>use</w:t>
      </w:r>
      <w:proofErr w:type="gramEnd"/>
      <w:r>
        <w:t xml:space="preserve"> and allocation of proceeds,</w:t>
      </w:r>
      <w:r w:rsidR="008E040B">
        <w:t xml:space="preserve"> including the declaration of intent to reimburse</w:t>
      </w:r>
      <w:r w:rsidR="00036498">
        <w:t>,</w:t>
      </w:r>
    </w:p>
    <w:p w:rsidR="00FB1B5C" w:rsidRDefault="00FB1B5C" w:rsidP="005156A4">
      <w:pPr>
        <w:spacing w:line="360" w:lineRule="auto"/>
        <w:jc w:val="both"/>
      </w:pPr>
      <w:r>
        <w:tab/>
      </w:r>
      <w:r>
        <w:tab/>
        <w:t>d)</w:t>
      </w:r>
      <w:r>
        <w:tab/>
      </w:r>
      <w:proofErr w:type="gramStart"/>
      <w:r>
        <w:t>non-governmental</w:t>
      </w:r>
      <w:proofErr w:type="gramEnd"/>
      <w:r>
        <w:t xml:space="preserve"> use of bond financed property,</w:t>
      </w:r>
    </w:p>
    <w:p w:rsidR="00FB1B5C" w:rsidRDefault="00FB1B5C" w:rsidP="005156A4">
      <w:pPr>
        <w:spacing w:line="360" w:lineRule="auto"/>
        <w:jc w:val="both"/>
      </w:pPr>
      <w:r>
        <w:tab/>
      </w:r>
      <w:r>
        <w:tab/>
        <w:t>(e)</w:t>
      </w:r>
      <w:r>
        <w:tab/>
      </w:r>
      <w:proofErr w:type="gramStart"/>
      <w:r>
        <w:t>payment</w:t>
      </w:r>
      <w:proofErr w:type="gramEnd"/>
      <w:r>
        <w:t xml:space="preserve"> of principal and interest on the bonds,</w:t>
      </w:r>
    </w:p>
    <w:p w:rsidR="00FB1B5C" w:rsidRDefault="00FB1B5C" w:rsidP="005156A4">
      <w:pPr>
        <w:spacing w:line="360" w:lineRule="auto"/>
        <w:jc w:val="both"/>
      </w:pPr>
      <w:r>
        <w:tab/>
      </w:r>
      <w:r>
        <w:tab/>
        <w:t>f)</w:t>
      </w:r>
      <w:r>
        <w:tab/>
      </w:r>
      <w:proofErr w:type="gramStart"/>
      <w:r>
        <w:t>the</w:t>
      </w:r>
      <w:proofErr w:type="gramEnd"/>
      <w:r>
        <w:t xml:space="preserve"> interest rate or rates on the bonds from time to time, if variable,</w:t>
      </w:r>
    </w:p>
    <w:p w:rsidR="00FB1B5C" w:rsidRDefault="00FB1B5C" w:rsidP="005156A4">
      <w:pPr>
        <w:spacing w:line="360" w:lineRule="auto"/>
        <w:jc w:val="both"/>
      </w:pPr>
      <w:r>
        <w:tab/>
      </w:r>
      <w:r>
        <w:tab/>
        <w:t>g)</w:t>
      </w:r>
      <w:r>
        <w:tab/>
      </w:r>
      <w:proofErr w:type="gramStart"/>
      <w:r>
        <w:t>compliance</w:t>
      </w:r>
      <w:proofErr w:type="gramEnd"/>
      <w:r>
        <w:t xml:space="preserve"> with </w:t>
      </w:r>
      <w:r w:rsidR="00AE48DC">
        <w:t>reimbursement requirements,</w:t>
      </w:r>
    </w:p>
    <w:p w:rsidR="00FB1B5C" w:rsidRDefault="00FB1B5C" w:rsidP="005156A4">
      <w:pPr>
        <w:spacing w:line="360" w:lineRule="auto"/>
        <w:jc w:val="both"/>
      </w:pPr>
      <w:r>
        <w:tab/>
      </w:r>
      <w:r>
        <w:tab/>
        <w:t>h)</w:t>
      </w:r>
      <w:r>
        <w:tab/>
      </w:r>
      <w:proofErr w:type="gramStart"/>
      <w:r>
        <w:t>refunding</w:t>
      </w:r>
      <w:proofErr w:type="gramEnd"/>
      <w:r>
        <w:t xml:space="preserve"> of all or part of the bonds</w:t>
      </w:r>
      <w:r w:rsidR="00AE48DC">
        <w:t>,</w:t>
      </w:r>
      <w:r w:rsidR="00036498">
        <w:t xml:space="preserve"> and</w:t>
      </w:r>
    </w:p>
    <w:p w:rsidR="00AE48DC" w:rsidRDefault="00AE48DC" w:rsidP="00036498">
      <w:pPr>
        <w:spacing w:after="120"/>
        <w:ind w:left="2166" w:hanging="741"/>
        <w:jc w:val="both"/>
      </w:pPr>
      <w:r>
        <w:t>i)</w:t>
      </w:r>
      <w:r>
        <w:tab/>
      </w:r>
      <w:proofErr w:type="gramStart"/>
      <w:r>
        <w:t>payment</w:t>
      </w:r>
      <w:proofErr w:type="gramEnd"/>
      <w:r>
        <w:t xml:space="preserve"> of arbitrage rebate or information support</w:t>
      </w:r>
      <w:r w:rsidR="00036498">
        <w:t>ing any exemption to rebate</w:t>
      </w:r>
    </w:p>
    <w:p w:rsidR="00C82460" w:rsidRPr="006F7A35" w:rsidRDefault="00FB1B5C" w:rsidP="00C82460">
      <w:pPr>
        <w:spacing w:line="360" w:lineRule="auto"/>
        <w:jc w:val="both"/>
      </w:pPr>
      <w:r>
        <w:t xml:space="preserve">shall be kept for the life of the bonds plus three years </w:t>
      </w:r>
      <w:r w:rsidR="00773850">
        <w:t xml:space="preserve">(and in compliance with any State of Arizona records retention policies) </w:t>
      </w:r>
      <w:r>
        <w:t xml:space="preserve">and, if the bonds are refunded, for the life of </w:t>
      </w:r>
      <w:r w:rsidR="00AE48DC">
        <w:t xml:space="preserve">all of </w:t>
      </w:r>
      <w:r>
        <w:t>the r</w:t>
      </w:r>
      <w:r w:rsidR="00773850">
        <w:t>efunding bonds plus three years (and in compliance with any State of Arizona records retention policies).</w:t>
      </w:r>
    </w:p>
    <w:sectPr w:rsidR="00C82460" w:rsidRPr="006F7A35" w:rsidSect="00794F0C">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91" w:rsidRDefault="00672D91">
      <w:r>
        <w:separator/>
      </w:r>
    </w:p>
  </w:endnote>
  <w:endnote w:type="continuationSeparator" w:id="0">
    <w:p w:rsidR="00672D91" w:rsidRDefault="0067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91" w:rsidRDefault="00672D91" w:rsidP="005A7641">
    <w:pPr>
      <w:pStyle w:val="Footer"/>
      <w:rPr>
        <w:sz w:val="16"/>
      </w:rPr>
    </w:pPr>
    <w:r>
      <w:t xml:space="preserve"> </w:t>
    </w:r>
    <w:bookmarkStart w:id="0" w:name="IManageStamp_Section1"/>
    <w:proofErr w:type="spellStart"/>
    <w:r>
      <w:rPr>
        <w:sz w:val="16"/>
      </w:rPr>
      <w:t>SCS</w:t>
    </w:r>
    <w:proofErr w:type="gramStart"/>
    <w:r>
      <w:rPr>
        <w:sz w:val="16"/>
      </w:rPr>
      <w:t>:dlh</w:t>
    </w:r>
    <w:proofErr w:type="spellEnd"/>
    <w:proofErr w:type="gramEnd"/>
    <w:r>
      <w:rPr>
        <w:sz w:val="16"/>
      </w:rPr>
      <w:t xml:space="preserve">  1659777.1  1/23/2012</w:t>
    </w:r>
    <w:bookmarkEnd w:id="0"/>
  </w:p>
  <w:p w:rsidR="00672D91" w:rsidRDefault="00672D91" w:rsidP="00B2517E">
    <w:pPr>
      <w:pStyle w:val="Footer"/>
      <w:jc w:val="center"/>
    </w:pPr>
    <w:fldSimple w:instr=" PAGE  \* MERGEFORMAT ">
      <w:r w:rsidR="000817B4">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91" w:rsidRDefault="00672D91">
      <w:r>
        <w:separator/>
      </w:r>
    </w:p>
  </w:footnote>
  <w:footnote w:type="continuationSeparator" w:id="0">
    <w:p w:rsidR="00672D91" w:rsidRDefault="0067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91" w:rsidRPr="00794F0C" w:rsidRDefault="00672D91" w:rsidP="00794F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25C9"/>
    <w:multiLevelType w:val="hybridMultilevel"/>
    <w:tmpl w:val="B7BE6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5D76A2"/>
    <w:multiLevelType w:val="hybridMultilevel"/>
    <w:tmpl w:val="9EA81182"/>
    <w:lvl w:ilvl="0" w:tplc="3EA24918">
      <w:start w:val="3"/>
      <w:numFmt w:val="decimal"/>
      <w:lvlText w:val="%1)"/>
      <w:lvlJc w:val="left"/>
      <w:pPr>
        <w:tabs>
          <w:tab w:val="num" w:pos="2517"/>
        </w:tabs>
        <w:ind w:left="2517" w:hanging="360"/>
      </w:pPr>
      <w:rPr>
        <w:rFonts w:hint="default"/>
      </w:rPr>
    </w:lvl>
    <w:lvl w:ilvl="1" w:tplc="04090019" w:tentative="1">
      <w:start w:val="1"/>
      <w:numFmt w:val="lowerLetter"/>
      <w:lvlText w:val="%2."/>
      <w:lvlJc w:val="left"/>
      <w:pPr>
        <w:tabs>
          <w:tab w:val="num" w:pos="3237"/>
        </w:tabs>
        <w:ind w:left="3237" w:hanging="360"/>
      </w:pPr>
    </w:lvl>
    <w:lvl w:ilvl="2" w:tplc="0409001B" w:tentative="1">
      <w:start w:val="1"/>
      <w:numFmt w:val="lowerRoman"/>
      <w:lvlText w:val="%3."/>
      <w:lvlJc w:val="right"/>
      <w:pPr>
        <w:tabs>
          <w:tab w:val="num" w:pos="3957"/>
        </w:tabs>
        <w:ind w:left="3957" w:hanging="180"/>
      </w:pPr>
    </w:lvl>
    <w:lvl w:ilvl="3" w:tplc="0409000F" w:tentative="1">
      <w:start w:val="1"/>
      <w:numFmt w:val="decimal"/>
      <w:lvlText w:val="%4."/>
      <w:lvlJc w:val="left"/>
      <w:pPr>
        <w:tabs>
          <w:tab w:val="num" w:pos="4677"/>
        </w:tabs>
        <w:ind w:left="4677" w:hanging="360"/>
      </w:pPr>
    </w:lvl>
    <w:lvl w:ilvl="4" w:tplc="04090019" w:tentative="1">
      <w:start w:val="1"/>
      <w:numFmt w:val="lowerLetter"/>
      <w:lvlText w:val="%5."/>
      <w:lvlJc w:val="left"/>
      <w:pPr>
        <w:tabs>
          <w:tab w:val="num" w:pos="5397"/>
        </w:tabs>
        <w:ind w:left="5397" w:hanging="360"/>
      </w:pPr>
    </w:lvl>
    <w:lvl w:ilvl="5" w:tplc="0409001B" w:tentative="1">
      <w:start w:val="1"/>
      <w:numFmt w:val="lowerRoman"/>
      <w:lvlText w:val="%6."/>
      <w:lvlJc w:val="right"/>
      <w:pPr>
        <w:tabs>
          <w:tab w:val="num" w:pos="6117"/>
        </w:tabs>
        <w:ind w:left="6117" w:hanging="180"/>
      </w:pPr>
    </w:lvl>
    <w:lvl w:ilvl="6" w:tplc="0409000F" w:tentative="1">
      <w:start w:val="1"/>
      <w:numFmt w:val="decimal"/>
      <w:lvlText w:val="%7."/>
      <w:lvlJc w:val="left"/>
      <w:pPr>
        <w:tabs>
          <w:tab w:val="num" w:pos="6837"/>
        </w:tabs>
        <w:ind w:left="6837" w:hanging="360"/>
      </w:pPr>
    </w:lvl>
    <w:lvl w:ilvl="7" w:tplc="04090019" w:tentative="1">
      <w:start w:val="1"/>
      <w:numFmt w:val="lowerLetter"/>
      <w:lvlText w:val="%8."/>
      <w:lvlJc w:val="left"/>
      <w:pPr>
        <w:tabs>
          <w:tab w:val="num" w:pos="7557"/>
        </w:tabs>
        <w:ind w:left="7557" w:hanging="360"/>
      </w:pPr>
    </w:lvl>
    <w:lvl w:ilvl="8" w:tplc="0409001B" w:tentative="1">
      <w:start w:val="1"/>
      <w:numFmt w:val="lowerRoman"/>
      <w:lvlText w:val="%9."/>
      <w:lvlJc w:val="right"/>
      <w:pPr>
        <w:tabs>
          <w:tab w:val="num" w:pos="8277"/>
        </w:tabs>
        <w:ind w:left="8277" w:hanging="180"/>
      </w:pPr>
    </w:lvl>
  </w:abstractNum>
  <w:abstractNum w:abstractNumId="2">
    <w:nsid w:val="363601E4"/>
    <w:multiLevelType w:val="hybridMultilevel"/>
    <w:tmpl w:val="8C8A086C"/>
    <w:lvl w:ilvl="0" w:tplc="C5946F46">
      <w:start w:val="3"/>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670E442A"/>
    <w:multiLevelType w:val="hybridMultilevel"/>
    <w:tmpl w:val="6DA8410C"/>
    <w:lvl w:ilvl="0" w:tplc="C5946F46">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76C64D48"/>
    <w:multiLevelType w:val="hybridMultilevel"/>
    <w:tmpl w:val="1EDC3506"/>
    <w:lvl w:ilvl="0" w:tplc="3EA24918">
      <w:start w:val="3"/>
      <w:numFmt w:val="decimal"/>
      <w:lvlText w:val="%1)"/>
      <w:lvlJc w:val="left"/>
      <w:pPr>
        <w:tabs>
          <w:tab w:val="num" w:pos="4674"/>
        </w:tabs>
        <w:ind w:left="4674" w:hanging="360"/>
      </w:pPr>
      <w:rPr>
        <w:rFonts w:hint="default"/>
      </w:rPr>
    </w:lvl>
    <w:lvl w:ilvl="1" w:tplc="04090019" w:tentative="1">
      <w:start w:val="1"/>
      <w:numFmt w:val="lowerLetter"/>
      <w:lvlText w:val="%2."/>
      <w:lvlJc w:val="left"/>
      <w:pPr>
        <w:tabs>
          <w:tab w:val="num" w:pos="3597"/>
        </w:tabs>
        <w:ind w:left="3597" w:hanging="360"/>
      </w:pPr>
    </w:lvl>
    <w:lvl w:ilvl="2" w:tplc="0409001B">
      <w:start w:val="1"/>
      <w:numFmt w:val="lowerRoman"/>
      <w:lvlText w:val="%3."/>
      <w:lvlJc w:val="right"/>
      <w:pPr>
        <w:tabs>
          <w:tab w:val="num" w:pos="4317"/>
        </w:tabs>
        <w:ind w:left="4317" w:hanging="180"/>
      </w:pPr>
    </w:lvl>
    <w:lvl w:ilvl="3" w:tplc="0409000F" w:tentative="1">
      <w:start w:val="1"/>
      <w:numFmt w:val="decimal"/>
      <w:lvlText w:val="%4."/>
      <w:lvlJc w:val="left"/>
      <w:pPr>
        <w:tabs>
          <w:tab w:val="num" w:pos="5037"/>
        </w:tabs>
        <w:ind w:left="5037" w:hanging="360"/>
      </w:pPr>
    </w:lvl>
    <w:lvl w:ilvl="4" w:tplc="04090019" w:tentative="1">
      <w:start w:val="1"/>
      <w:numFmt w:val="lowerLetter"/>
      <w:lvlText w:val="%5."/>
      <w:lvlJc w:val="left"/>
      <w:pPr>
        <w:tabs>
          <w:tab w:val="num" w:pos="5757"/>
        </w:tabs>
        <w:ind w:left="5757" w:hanging="360"/>
      </w:pPr>
    </w:lvl>
    <w:lvl w:ilvl="5" w:tplc="0409001B" w:tentative="1">
      <w:start w:val="1"/>
      <w:numFmt w:val="lowerRoman"/>
      <w:lvlText w:val="%6."/>
      <w:lvlJc w:val="right"/>
      <w:pPr>
        <w:tabs>
          <w:tab w:val="num" w:pos="6477"/>
        </w:tabs>
        <w:ind w:left="6477" w:hanging="180"/>
      </w:pPr>
    </w:lvl>
    <w:lvl w:ilvl="6" w:tplc="0409000F" w:tentative="1">
      <w:start w:val="1"/>
      <w:numFmt w:val="decimal"/>
      <w:lvlText w:val="%7."/>
      <w:lvlJc w:val="left"/>
      <w:pPr>
        <w:tabs>
          <w:tab w:val="num" w:pos="7197"/>
        </w:tabs>
        <w:ind w:left="7197" w:hanging="360"/>
      </w:pPr>
    </w:lvl>
    <w:lvl w:ilvl="7" w:tplc="04090019" w:tentative="1">
      <w:start w:val="1"/>
      <w:numFmt w:val="lowerLetter"/>
      <w:lvlText w:val="%8."/>
      <w:lvlJc w:val="left"/>
      <w:pPr>
        <w:tabs>
          <w:tab w:val="num" w:pos="7917"/>
        </w:tabs>
        <w:ind w:left="7917" w:hanging="360"/>
      </w:pPr>
    </w:lvl>
    <w:lvl w:ilvl="8" w:tplc="0409001B" w:tentative="1">
      <w:start w:val="1"/>
      <w:numFmt w:val="lowerRoman"/>
      <w:lvlText w:val="%9."/>
      <w:lvlJc w:val="right"/>
      <w:pPr>
        <w:tabs>
          <w:tab w:val="num" w:pos="8637"/>
        </w:tabs>
        <w:ind w:left="8637" w:hanging="180"/>
      </w:pPr>
    </w:lvl>
  </w:abstractNum>
  <w:abstractNum w:abstractNumId="5">
    <w:nsid w:val="7AB12249"/>
    <w:multiLevelType w:val="hybridMultilevel"/>
    <w:tmpl w:val="EEBC49D6"/>
    <w:lvl w:ilvl="0" w:tplc="04090001">
      <w:start w:val="1"/>
      <w:numFmt w:val="bullet"/>
      <w:lvlText w:val=""/>
      <w:lvlJc w:val="left"/>
      <w:pPr>
        <w:tabs>
          <w:tab w:val="num" w:pos="2877"/>
        </w:tabs>
        <w:ind w:left="2877" w:hanging="360"/>
      </w:pPr>
      <w:rPr>
        <w:rFonts w:ascii="Symbol" w:hAnsi="Symbol" w:hint="default"/>
      </w:rPr>
    </w:lvl>
    <w:lvl w:ilvl="1" w:tplc="04090003" w:tentative="1">
      <w:start w:val="1"/>
      <w:numFmt w:val="bullet"/>
      <w:lvlText w:val="o"/>
      <w:lvlJc w:val="left"/>
      <w:pPr>
        <w:tabs>
          <w:tab w:val="num" w:pos="3597"/>
        </w:tabs>
        <w:ind w:left="3597" w:hanging="360"/>
      </w:pPr>
      <w:rPr>
        <w:rFonts w:ascii="Courier New" w:hAnsi="Courier New" w:cs="Courier New" w:hint="default"/>
      </w:rPr>
    </w:lvl>
    <w:lvl w:ilvl="2" w:tplc="04090005" w:tentative="1">
      <w:start w:val="1"/>
      <w:numFmt w:val="bullet"/>
      <w:lvlText w:val=""/>
      <w:lvlJc w:val="left"/>
      <w:pPr>
        <w:tabs>
          <w:tab w:val="num" w:pos="4317"/>
        </w:tabs>
        <w:ind w:left="4317" w:hanging="360"/>
      </w:pPr>
      <w:rPr>
        <w:rFonts w:ascii="Wingdings" w:hAnsi="Wingdings" w:hint="default"/>
      </w:rPr>
    </w:lvl>
    <w:lvl w:ilvl="3" w:tplc="04090001" w:tentative="1">
      <w:start w:val="1"/>
      <w:numFmt w:val="bullet"/>
      <w:lvlText w:val=""/>
      <w:lvlJc w:val="left"/>
      <w:pPr>
        <w:tabs>
          <w:tab w:val="num" w:pos="5037"/>
        </w:tabs>
        <w:ind w:left="5037" w:hanging="360"/>
      </w:pPr>
      <w:rPr>
        <w:rFonts w:ascii="Symbol" w:hAnsi="Symbol" w:hint="default"/>
      </w:rPr>
    </w:lvl>
    <w:lvl w:ilvl="4" w:tplc="04090003" w:tentative="1">
      <w:start w:val="1"/>
      <w:numFmt w:val="bullet"/>
      <w:lvlText w:val="o"/>
      <w:lvlJc w:val="left"/>
      <w:pPr>
        <w:tabs>
          <w:tab w:val="num" w:pos="5757"/>
        </w:tabs>
        <w:ind w:left="5757" w:hanging="360"/>
      </w:pPr>
      <w:rPr>
        <w:rFonts w:ascii="Courier New" w:hAnsi="Courier New" w:cs="Courier New" w:hint="default"/>
      </w:rPr>
    </w:lvl>
    <w:lvl w:ilvl="5" w:tplc="04090005" w:tentative="1">
      <w:start w:val="1"/>
      <w:numFmt w:val="bullet"/>
      <w:lvlText w:val=""/>
      <w:lvlJc w:val="left"/>
      <w:pPr>
        <w:tabs>
          <w:tab w:val="num" w:pos="6477"/>
        </w:tabs>
        <w:ind w:left="6477" w:hanging="360"/>
      </w:pPr>
      <w:rPr>
        <w:rFonts w:ascii="Wingdings" w:hAnsi="Wingdings" w:hint="default"/>
      </w:rPr>
    </w:lvl>
    <w:lvl w:ilvl="6" w:tplc="04090001" w:tentative="1">
      <w:start w:val="1"/>
      <w:numFmt w:val="bullet"/>
      <w:lvlText w:val=""/>
      <w:lvlJc w:val="left"/>
      <w:pPr>
        <w:tabs>
          <w:tab w:val="num" w:pos="7197"/>
        </w:tabs>
        <w:ind w:left="7197" w:hanging="360"/>
      </w:pPr>
      <w:rPr>
        <w:rFonts w:ascii="Symbol" w:hAnsi="Symbol" w:hint="default"/>
      </w:rPr>
    </w:lvl>
    <w:lvl w:ilvl="7" w:tplc="04090003" w:tentative="1">
      <w:start w:val="1"/>
      <w:numFmt w:val="bullet"/>
      <w:lvlText w:val="o"/>
      <w:lvlJc w:val="left"/>
      <w:pPr>
        <w:tabs>
          <w:tab w:val="num" w:pos="7917"/>
        </w:tabs>
        <w:ind w:left="7917" w:hanging="360"/>
      </w:pPr>
      <w:rPr>
        <w:rFonts w:ascii="Courier New" w:hAnsi="Courier New" w:cs="Courier New" w:hint="default"/>
      </w:rPr>
    </w:lvl>
    <w:lvl w:ilvl="8" w:tplc="04090005" w:tentative="1">
      <w:start w:val="1"/>
      <w:numFmt w:val="bullet"/>
      <w:lvlText w:val=""/>
      <w:lvlJc w:val="left"/>
      <w:pPr>
        <w:tabs>
          <w:tab w:val="num" w:pos="8637"/>
        </w:tabs>
        <w:ind w:left="863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5156A4"/>
    <w:rsid w:val="00001B85"/>
    <w:rsid w:val="000034F6"/>
    <w:rsid w:val="00010DAF"/>
    <w:rsid w:val="00012934"/>
    <w:rsid w:val="00014E0B"/>
    <w:rsid w:val="0001550B"/>
    <w:rsid w:val="00021E97"/>
    <w:rsid w:val="00024E38"/>
    <w:rsid w:val="00026AA0"/>
    <w:rsid w:val="00031B8C"/>
    <w:rsid w:val="00036498"/>
    <w:rsid w:val="00040166"/>
    <w:rsid w:val="0004487F"/>
    <w:rsid w:val="000501B6"/>
    <w:rsid w:val="00052309"/>
    <w:rsid w:val="00052C50"/>
    <w:rsid w:val="00052D57"/>
    <w:rsid w:val="00064806"/>
    <w:rsid w:val="00070444"/>
    <w:rsid w:val="00074DE0"/>
    <w:rsid w:val="000753A9"/>
    <w:rsid w:val="000817B4"/>
    <w:rsid w:val="00085D29"/>
    <w:rsid w:val="000865F9"/>
    <w:rsid w:val="000874F9"/>
    <w:rsid w:val="000875DF"/>
    <w:rsid w:val="000955F4"/>
    <w:rsid w:val="000A3EF2"/>
    <w:rsid w:val="000A707F"/>
    <w:rsid w:val="000A77CA"/>
    <w:rsid w:val="000B3A18"/>
    <w:rsid w:val="000B4C80"/>
    <w:rsid w:val="000B6EB0"/>
    <w:rsid w:val="000B7881"/>
    <w:rsid w:val="000C0DAF"/>
    <w:rsid w:val="000C15F1"/>
    <w:rsid w:val="000C6878"/>
    <w:rsid w:val="000C72D2"/>
    <w:rsid w:val="000D073E"/>
    <w:rsid w:val="000D14D0"/>
    <w:rsid w:val="000D1765"/>
    <w:rsid w:val="000D2CAC"/>
    <w:rsid w:val="000D3748"/>
    <w:rsid w:val="000D49A2"/>
    <w:rsid w:val="000E0D65"/>
    <w:rsid w:val="000E7F68"/>
    <w:rsid w:val="000F1FF0"/>
    <w:rsid w:val="00103484"/>
    <w:rsid w:val="00105B88"/>
    <w:rsid w:val="001071C3"/>
    <w:rsid w:val="0011620A"/>
    <w:rsid w:val="001208E4"/>
    <w:rsid w:val="00122749"/>
    <w:rsid w:val="0013008D"/>
    <w:rsid w:val="00131C63"/>
    <w:rsid w:val="00134885"/>
    <w:rsid w:val="00135ABB"/>
    <w:rsid w:val="001367C8"/>
    <w:rsid w:val="00144F7F"/>
    <w:rsid w:val="00157DB3"/>
    <w:rsid w:val="0016156B"/>
    <w:rsid w:val="00165644"/>
    <w:rsid w:val="00171CA2"/>
    <w:rsid w:val="00177DF6"/>
    <w:rsid w:val="00191F36"/>
    <w:rsid w:val="00196E9F"/>
    <w:rsid w:val="00197E60"/>
    <w:rsid w:val="001A38B9"/>
    <w:rsid w:val="001A7428"/>
    <w:rsid w:val="001B30F0"/>
    <w:rsid w:val="001B34EA"/>
    <w:rsid w:val="001B42FF"/>
    <w:rsid w:val="001B53B0"/>
    <w:rsid w:val="001C5AEA"/>
    <w:rsid w:val="001D48E2"/>
    <w:rsid w:val="001D62E3"/>
    <w:rsid w:val="001D6F21"/>
    <w:rsid w:val="001D780F"/>
    <w:rsid w:val="001D7C98"/>
    <w:rsid w:val="001E25C7"/>
    <w:rsid w:val="001E588D"/>
    <w:rsid w:val="001E7041"/>
    <w:rsid w:val="001F031D"/>
    <w:rsid w:val="001F66C6"/>
    <w:rsid w:val="00200657"/>
    <w:rsid w:val="00201075"/>
    <w:rsid w:val="002072D1"/>
    <w:rsid w:val="002076FD"/>
    <w:rsid w:val="0021172C"/>
    <w:rsid w:val="00213CCA"/>
    <w:rsid w:val="0021518C"/>
    <w:rsid w:val="002163AC"/>
    <w:rsid w:val="00223690"/>
    <w:rsid w:val="0022644F"/>
    <w:rsid w:val="002270DF"/>
    <w:rsid w:val="0023094B"/>
    <w:rsid w:val="002343B9"/>
    <w:rsid w:val="002348EC"/>
    <w:rsid w:val="00235B7D"/>
    <w:rsid w:val="00237910"/>
    <w:rsid w:val="00247C9D"/>
    <w:rsid w:val="002511C9"/>
    <w:rsid w:val="00254821"/>
    <w:rsid w:val="0026002B"/>
    <w:rsid w:val="0026170D"/>
    <w:rsid w:val="00263426"/>
    <w:rsid w:val="002634C2"/>
    <w:rsid w:val="00266C52"/>
    <w:rsid w:val="002710A1"/>
    <w:rsid w:val="00272CC9"/>
    <w:rsid w:val="002908FA"/>
    <w:rsid w:val="00291CBB"/>
    <w:rsid w:val="002A026B"/>
    <w:rsid w:val="002A5D04"/>
    <w:rsid w:val="002A6F7C"/>
    <w:rsid w:val="002B4580"/>
    <w:rsid w:val="002B4B6B"/>
    <w:rsid w:val="002B5239"/>
    <w:rsid w:val="002B53E7"/>
    <w:rsid w:val="002B7B1D"/>
    <w:rsid w:val="002C07C7"/>
    <w:rsid w:val="002C1271"/>
    <w:rsid w:val="002C52CB"/>
    <w:rsid w:val="002C5486"/>
    <w:rsid w:val="002D15FC"/>
    <w:rsid w:val="002D4FEF"/>
    <w:rsid w:val="002D5D60"/>
    <w:rsid w:val="002D722B"/>
    <w:rsid w:val="002E236B"/>
    <w:rsid w:val="002E324E"/>
    <w:rsid w:val="002E4B0D"/>
    <w:rsid w:val="002F0EBC"/>
    <w:rsid w:val="002F126C"/>
    <w:rsid w:val="002F4B61"/>
    <w:rsid w:val="002F5A4B"/>
    <w:rsid w:val="00302B2C"/>
    <w:rsid w:val="00305A36"/>
    <w:rsid w:val="00305F99"/>
    <w:rsid w:val="00314128"/>
    <w:rsid w:val="00316044"/>
    <w:rsid w:val="003216C8"/>
    <w:rsid w:val="00323368"/>
    <w:rsid w:val="00325405"/>
    <w:rsid w:val="0032556B"/>
    <w:rsid w:val="003262C6"/>
    <w:rsid w:val="00336FA5"/>
    <w:rsid w:val="00337BEF"/>
    <w:rsid w:val="003411A7"/>
    <w:rsid w:val="00344AB2"/>
    <w:rsid w:val="00347700"/>
    <w:rsid w:val="003707C6"/>
    <w:rsid w:val="0037436E"/>
    <w:rsid w:val="00385377"/>
    <w:rsid w:val="00386054"/>
    <w:rsid w:val="003A1907"/>
    <w:rsid w:val="003A3DE7"/>
    <w:rsid w:val="003A636C"/>
    <w:rsid w:val="003A6CC1"/>
    <w:rsid w:val="003B3C13"/>
    <w:rsid w:val="003C04FB"/>
    <w:rsid w:val="003D3C21"/>
    <w:rsid w:val="003D4BB7"/>
    <w:rsid w:val="003D57CE"/>
    <w:rsid w:val="003D6938"/>
    <w:rsid w:val="003D6FA2"/>
    <w:rsid w:val="003E030F"/>
    <w:rsid w:val="003E25DA"/>
    <w:rsid w:val="003F3081"/>
    <w:rsid w:val="003F4108"/>
    <w:rsid w:val="004233DB"/>
    <w:rsid w:val="00430FEA"/>
    <w:rsid w:val="00432289"/>
    <w:rsid w:val="00433B53"/>
    <w:rsid w:val="00441656"/>
    <w:rsid w:val="004421D5"/>
    <w:rsid w:val="00444944"/>
    <w:rsid w:val="00446D1D"/>
    <w:rsid w:val="004476B5"/>
    <w:rsid w:val="0045188B"/>
    <w:rsid w:val="004526D1"/>
    <w:rsid w:val="0046172D"/>
    <w:rsid w:val="004638AA"/>
    <w:rsid w:val="00463D07"/>
    <w:rsid w:val="004660C1"/>
    <w:rsid w:val="00474727"/>
    <w:rsid w:val="00484331"/>
    <w:rsid w:val="00492349"/>
    <w:rsid w:val="004A50F3"/>
    <w:rsid w:val="004A77EC"/>
    <w:rsid w:val="004A7AAC"/>
    <w:rsid w:val="004B0906"/>
    <w:rsid w:val="004C057A"/>
    <w:rsid w:val="004C5984"/>
    <w:rsid w:val="004D202C"/>
    <w:rsid w:val="004D30F8"/>
    <w:rsid w:val="004E3112"/>
    <w:rsid w:val="004E4D48"/>
    <w:rsid w:val="004E7701"/>
    <w:rsid w:val="004F24EC"/>
    <w:rsid w:val="004F3EF5"/>
    <w:rsid w:val="004F58B0"/>
    <w:rsid w:val="0050448F"/>
    <w:rsid w:val="005070AE"/>
    <w:rsid w:val="0051297C"/>
    <w:rsid w:val="005141EA"/>
    <w:rsid w:val="005144FA"/>
    <w:rsid w:val="005145C1"/>
    <w:rsid w:val="005156A4"/>
    <w:rsid w:val="00520EA0"/>
    <w:rsid w:val="005266CD"/>
    <w:rsid w:val="0053095E"/>
    <w:rsid w:val="00531017"/>
    <w:rsid w:val="00540E15"/>
    <w:rsid w:val="005420C2"/>
    <w:rsid w:val="0054225C"/>
    <w:rsid w:val="00542E3F"/>
    <w:rsid w:val="005439EA"/>
    <w:rsid w:val="00545441"/>
    <w:rsid w:val="005476BC"/>
    <w:rsid w:val="00557604"/>
    <w:rsid w:val="005643FF"/>
    <w:rsid w:val="005654FF"/>
    <w:rsid w:val="00572E0A"/>
    <w:rsid w:val="00574B6D"/>
    <w:rsid w:val="00576C65"/>
    <w:rsid w:val="00583CB9"/>
    <w:rsid w:val="00587BF4"/>
    <w:rsid w:val="005906BA"/>
    <w:rsid w:val="00590CC6"/>
    <w:rsid w:val="00591538"/>
    <w:rsid w:val="005A2BF1"/>
    <w:rsid w:val="005A4031"/>
    <w:rsid w:val="005A4760"/>
    <w:rsid w:val="005A7641"/>
    <w:rsid w:val="005B316B"/>
    <w:rsid w:val="005B75FA"/>
    <w:rsid w:val="005C0247"/>
    <w:rsid w:val="005C04F7"/>
    <w:rsid w:val="005C6F9D"/>
    <w:rsid w:val="005D74B4"/>
    <w:rsid w:val="005E34FC"/>
    <w:rsid w:val="005E5428"/>
    <w:rsid w:val="005E5C73"/>
    <w:rsid w:val="005E6D49"/>
    <w:rsid w:val="005E7AAC"/>
    <w:rsid w:val="005F2D1C"/>
    <w:rsid w:val="005F5E0B"/>
    <w:rsid w:val="005F7DC1"/>
    <w:rsid w:val="006004F4"/>
    <w:rsid w:val="00600C02"/>
    <w:rsid w:val="00600D1D"/>
    <w:rsid w:val="00603A2D"/>
    <w:rsid w:val="006058B1"/>
    <w:rsid w:val="00605F21"/>
    <w:rsid w:val="00606043"/>
    <w:rsid w:val="0060667F"/>
    <w:rsid w:val="00607960"/>
    <w:rsid w:val="00607B33"/>
    <w:rsid w:val="006116B2"/>
    <w:rsid w:val="0062407A"/>
    <w:rsid w:val="00630A32"/>
    <w:rsid w:val="00636CDE"/>
    <w:rsid w:val="00641AC0"/>
    <w:rsid w:val="0064235C"/>
    <w:rsid w:val="00642D62"/>
    <w:rsid w:val="00650C96"/>
    <w:rsid w:val="00650EF8"/>
    <w:rsid w:val="00652213"/>
    <w:rsid w:val="00654057"/>
    <w:rsid w:val="0066296B"/>
    <w:rsid w:val="00671D33"/>
    <w:rsid w:val="00672987"/>
    <w:rsid w:val="00672D91"/>
    <w:rsid w:val="00675B08"/>
    <w:rsid w:val="00682AFF"/>
    <w:rsid w:val="00683B1C"/>
    <w:rsid w:val="00694E55"/>
    <w:rsid w:val="006A315F"/>
    <w:rsid w:val="006B0CED"/>
    <w:rsid w:val="006B1A90"/>
    <w:rsid w:val="006B2726"/>
    <w:rsid w:val="006B2861"/>
    <w:rsid w:val="006C0048"/>
    <w:rsid w:val="006C0E76"/>
    <w:rsid w:val="006C41C7"/>
    <w:rsid w:val="006C52A7"/>
    <w:rsid w:val="006D5F68"/>
    <w:rsid w:val="006E58AB"/>
    <w:rsid w:val="006F1A24"/>
    <w:rsid w:val="006F7A35"/>
    <w:rsid w:val="00701528"/>
    <w:rsid w:val="00701E9B"/>
    <w:rsid w:val="0071020D"/>
    <w:rsid w:val="00722137"/>
    <w:rsid w:val="00725183"/>
    <w:rsid w:val="00727321"/>
    <w:rsid w:val="007313D3"/>
    <w:rsid w:val="0073280F"/>
    <w:rsid w:val="00732FFF"/>
    <w:rsid w:val="007446A4"/>
    <w:rsid w:val="00756C64"/>
    <w:rsid w:val="00757325"/>
    <w:rsid w:val="0076197F"/>
    <w:rsid w:val="007675AA"/>
    <w:rsid w:val="00773850"/>
    <w:rsid w:val="00777523"/>
    <w:rsid w:val="0078012B"/>
    <w:rsid w:val="007802F7"/>
    <w:rsid w:val="0078392F"/>
    <w:rsid w:val="00786AFF"/>
    <w:rsid w:val="007879CB"/>
    <w:rsid w:val="00792A09"/>
    <w:rsid w:val="00794F0C"/>
    <w:rsid w:val="007A5803"/>
    <w:rsid w:val="007A5BED"/>
    <w:rsid w:val="007B412A"/>
    <w:rsid w:val="007B4E64"/>
    <w:rsid w:val="007B7063"/>
    <w:rsid w:val="007C319C"/>
    <w:rsid w:val="007C3527"/>
    <w:rsid w:val="007C39E9"/>
    <w:rsid w:val="007D2917"/>
    <w:rsid w:val="007D62CC"/>
    <w:rsid w:val="007D7DC0"/>
    <w:rsid w:val="007E1056"/>
    <w:rsid w:val="007E446B"/>
    <w:rsid w:val="007E5341"/>
    <w:rsid w:val="007E7759"/>
    <w:rsid w:val="007F095F"/>
    <w:rsid w:val="00803C63"/>
    <w:rsid w:val="00815B2F"/>
    <w:rsid w:val="008205C3"/>
    <w:rsid w:val="008276EC"/>
    <w:rsid w:val="008310BC"/>
    <w:rsid w:val="00831C1D"/>
    <w:rsid w:val="00832CE0"/>
    <w:rsid w:val="00844336"/>
    <w:rsid w:val="00844C49"/>
    <w:rsid w:val="0085239D"/>
    <w:rsid w:val="008551DA"/>
    <w:rsid w:val="00862910"/>
    <w:rsid w:val="008651AD"/>
    <w:rsid w:val="00870B81"/>
    <w:rsid w:val="00871F23"/>
    <w:rsid w:val="00881D85"/>
    <w:rsid w:val="00884496"/>
    <w:rsid w:val="0088552B"/>
    <w:rsid w:val="00887036"/>
    <w:rsid w:val="00891D17"/>
    <w:rsid w:val="008924A3"/>
    <w:rsid w:val="00893B2F"/>
    <w:rsid w:val="00894572"/>
    <w:rsid w:val="008955EC"/>
    <w:rsid w:val="008A39CD"/>
    <w:rsid w:val="008A6EC2"/>
    <w:rsid w:val="008B466D"/>
    <w:rsid w:val="008C02FC"/>
    <w:rsid w:val="008D1AB0"/>
    <w:rsid w:val="008D70FF"/>
    <w:rsid w:val="008E040B"/>
    <w:rsid w:val="008E3771"/>
    <w:rsid w:val="008F0403"/>
    <w:rsid w:val="008F322E"/>
    <w:rsid w:val="008F3363"/>
    <w:rsid w:val="008F3DF1"/>
    <w:rsid w:val="008F5058"/>
    <w:rsid w:val="008F5748"/>
    <w:rsid w:val="008F7B6A"/>
    <w:rsid w:val="00910A24"/>
    <w:rsid w:val="00913D32"/>
    <w:rsid w:val="0092129A"/>
    <w:rsid w:val="0092278A"/>
    <w:rsid w:val="0093118B"/>
    <w:rsid w:val="00931437"/>
    <w:rsid w:val="00933849"/>
    <w:rsid w:val="009457DE"/>
    <w:rsid w:val="00945F15"/>
    <w:rsid w:val="0095180B"/>
    <w:rsid w:val="0095614C"/>
    <w:rsid w:val="009663EE"/>
    <w:rsid w:val="00972BAC"/>
    <w:rsid w:val="00972F8A"/>
    <w:rsid w:val="009845FB"/>
    <w:rsid w:val="0098645F"/>
    <w:rsid w:val="009865D2"/>
    <w:rsid w:val="0099345C"/>
    <w:rsid w:val="009942C7"/>
    <w:rsid w:val="00996A47"/>
    <w:rsid w:val="00997572"/>
    <w:rsid w:val="00997F88"/>
    <w:rsid w:val="009A2C93"/>
    <w:rsid w:val="009B16CC"/>
    <w:rsid w:val="009B3295"/>
    <w:rsid w:val="009C1E21"/>
    <w:rsid w:val="009C3682"/>
    <w:rsid w:val="009C45ED"/>
    <w:rsid w:val="009D1F2C"/>
    <w:rsid w:val="009D3AEF"/>
    <w:rsid w:val="009D68C7"/>
    <w:rsid w:val="009E0FFA"/>
    <w:rsid w:val="009E175D"/>
    <w:rsid w:val="009E22C2"/>
    <w:rsid w:val="009E6227"/>
    <w:rsid w:val="009E66E1"/>
    <w:rsid w:val="009E7AC1"/>
    <w:rsid w:val="009F69DF"/>
    <w:rsid w:val="00A052E3"/>
    <w:rsid w:val="00A05345"/>
    <w:rsid w:val="00A05A66"/>
    <w:rsid w:val="00A06D28"/>
    <w:rsid w:val="00A07149"/>
    <w:rsid w:val="00A07F72"/>
    <w:rsid w:val="00A14348"/>
    <w:rsid w:val="00A15FE4"/>
    <w:rsid w:val="00A172E8"/>
    <w:rsid w:val="00A22BA9"/>
    <w:rsid w:val="00A272FB"/>
    <w:rsid w:val="00A33591"/>
    <w:rsid w:val="00A3564A"/>
    <w:rsid w:val="00A422F2"/>
    <w:rsid w:val="00A518DF"/>
    <w:rsid w:val="00A51957"/>
    <w:rsid w:val="00A52488"/>
    <w:rsid w:val="00A572D9"/>
    <w:rsid w:val="00A62150"/>
    <w:rsid w:val="00A671F2"/>
    <w:rsid w:val="00A67B24"/>
    <w:rsid w:val="00A71F5D"/>
    <w:rsid w:val="00A74E4A"/>
    <w:rsid w:val="00A910E2"/>
    <w:rsid w:val="00A934FB"/>
    <w:rsid w:val="00AA660D"/>
    <w:rsid w:val="00AA7AC9"/>
    <w:rsid w:val="00AA7C0F"/>
    <w:rsid w:val="00AA7D87"/>
    <w:rsid w:val="00AB506E"/>
    <w:rsid w:val="00AC15F1"/>
    <w:rsid w:val="00AD0D2F"/>
    <w:rsid w:val="00AD30BE"/>
    <w:rsid w:val="00AD43E3"/>
    <w:rsid w:val="00AE1083"/>
    <w:rsid w:val="00AE288B"/>
    <w:rsid w:val="00AE48DC"/>
    <w:rsid w:val="00AF1687"/>
    <w:rsid w:val="00AF3524"/>
    <w:rsid w:val="00AF667E"/>
    <w:rsid w:val="00B00DAD"/>
    <w:rsid w:val="00B054E9"/>
    <w:rsid w:val="00B065D0"/>
    <w:rsid w:val="00B06BC2"/>
    <w:rsid w:val="00B10399"/>
    <w:rsid w:val="00B119ED"/>
    <w:rsid w:val="00B11A3C"/>
    <w:rsid w:val="00B1217D"/>
    <w:rsid w:val="00B13D8C"/>
    <w:rsid w:val="00B14335"/>
    <w:rsid w:val="00B1744C"/>
    <w:rsid w:val="00B21B49"/>
    <w:rsid w:val="00B2517E"/>
    <w:rsid w:val="00B27A14"/>
    <w:rsid w:val="00B307C8"/>
    <w:rsid w:val="00B319BC"/>
    <w:rsid w:val="00B37972"/>
    <w:rsid w:val="00B47FCA"/>
    <w:rsid w:val="00B53731"/>
    <w:rsid w:val="00B60616"/>
    <w:rsid w:val="00B62BD1"/>
    <w:rsid w:val="00B70D3F"/>
    <w:rsid w:val="00B71F9B"/>
    <w:rsid w:val="00B7389B"/>
    <w:rsid w:val="00B75CA3"/>
    <w:rsid w:val="00B76331"/>
    <w:rsid w:val="00B8041D"/>
    <w:rsid w:val="00B81C92"/>
    <w:rsid w:val="00B833E4"/>
    <w:rsid w:val="00B91DB9"/>
    <w:rsid w:val="00B92B65"/>
    <w:rsid w:val="00B93EC0"/>
    <w:rsid w:val="00B97224"/>
    <w:rsid w:val="00BA32D0"/>
    <w:rsid w:val="00BA33C7"/>
    <w:rsid w:val="00BA40CB"/>
    <w:rsid w:val="00BA6AC7"/>
    <w:rsid w:val="00BC6281"/>
    <w:rsid w:val="00BC699A"/>
    <w:rsid w:val="00BC727E"/>
    <w:rsid w:val="00BD1A36"/>
    <w:rsid w:val="00BD72CB"/>
    <w:rsid w:val="00BD7CD5"/>
    <w:rsid w:val="00BE3C03"/>
    <w:rsid w:val="00BE702B"/>
    <w:rsid w:val="00BE7205"/>
    <w:rsid w:val="00BF5801"/>
    <w:rsid w:val="00BF701D"/>
    <w:rsid w:val="00C07833"/>
    <w:rsid w:val="00C1021C"/>
    <w:rsid w:val="00C11B8C"/>
    <w:rsid w:val="00C14D53"/>
    <w:rsid w:val="00C171C5"/>
    <w:rsid w:val="00C17C56"/>
    <w:rsid w:val="00C24824"/>
    <w:rsid w:val="00C302D4"/>
    <w:rsid w:val="00C31F9E"/>
    <w:rsid w:val="00C32000"/>
    <w:rsid w:val="00C32D79"/>
    <w:rsid w:val="00C33180"/>
    <w:rsid w:val="00C33FE0"/>
    <w:rsid w:val="00C42B19"/>
    <w:rsid w:val="00C46DA2"/>
    <w:rsid w:val="00C5385A"/>
    <w:rsid w:val="00C57A0A"/>
    <w:rsid w:val="00C60929"/>
    <w:rsid w:val="00C6773B"/>
    <w:rsid w:val="00C73781"/>
    <w:rsid w:val="00C73F0F"/>
    <w:rsid w:val="00C74ACF"/>
    <w:rsid w:val="00C80DAA"/>
    <w:rsid w:val="00C82460"/>
    <w:rsid w:val="00C86FA8"/>
    <w:rsid w:val="00C8767C"/>
    <w:rsid w:val="00C903AB"/>
    <w:rsid w:val="00CA1D2F"/>
    <w:rsid w:val="00CA7466"/>
    <w:rsid w:val="00CA74B8"/>
    <w:rsid w:val="00CC43BB"/>
    <w:rsid w:val="00CD3B84"/>
    <w:rsid w:val="00CE0394"/>
    <w:rsid w:val="00CE178F"/>
    <w:rsid w:val="00CE69DD"/>
    <w:rsid w:val="00CF4B72"/>
    <w:rsid w:val="00D0144F"/>
    <w:rsid w:val="00D027DA"/>
    <w:rsid w:val="00D0402C"/>
    <w:rsid w:val="00D07674"/>
    <w:rsid w:val="00D1679E"/>
    <w:rsid w:val="00D22A33"/>
    <w:rsid w:val="00D253AD"/>
    <w:rsid w:val="00D31129"/>
    <w:rsid w:val="00D40D85"/>
    <w:rsid w:val="00D4409C"/>
    <w:rsid w:val="00D5390E"/>
    <w:rsid w:val="00D53C69"/>
    <w:rsid w:val="00D54B87"/>
    <w:rsid w:val="00D62EA5"/>
    <w:rsid w:val="00D6378A"/>
    <w:rsid w:val="00D66BA5"/>
    <w:rsid w:val="00D67031"/>
    <w:rsid w:val="00D74803"/>
    <w:rsid w:val="00D75C20"/>
    <w:rsid w:val="00D76D37"/>
    <w:rsid w:val="00D77E16"/>
    <w:rsid w:val="00D83DB3"/>
    <w:rsid w:val="00D843A0"/>
    <w:rsid w:val="00D84968"/>
    <w:rsid w:val="00D851C5"/>
    <w:rsid w:val="00DA0DBC"/>
    <w:rsid w:val="00DC0DD2"/>
    <w:rsid w:val="00DD3EB9"/>
    <w:rsid w:val="00DE5489"/>
    <w:rsid w:val="00DE6FA6"/>
    <w:rsid w:val="00DE7336"/>
    <w:rsid w:val="00DF1DF8"/>
    <w:rsid w:val="00DF2DCF"/>
    <w:rsid w:val="00DF42DF"/>
    <w:rsid w:val="00DF5664"/>
    <w:rsid w:val="00E04739"/>
    <w:rsid w:val="00E05FE6"/>
    <w:rsid w:val="00E10F2F"/>
    <w:rsid w:val="00E16F7B"/>
    <w:rsid w:val="00E20812"/>
    <w:rsid w:val="00E23D4C"/>
    <w:rsid w:val="00E2656A"/>
    <w:rsid w:val="00E2675B"/>
    <w:rsid w:val="00E3015C"/>
    <w:rsid w:val="00E31C5A"/>
    <w:rsid w:val="00E323F8"/>
    <w:rsid w:val="00E32D8D"/>
    <w:rsid w:val="00E33013"/>
    <w:rsid w:val="00E41816"/>
    <w:rsid w:val="00E42067"/>
    <w:rsid w:val="00E50D4E"/>
    <w:rsid w:val="00E549BF"/>
    <w:rsid w:val="00E556CE"/>
    <w:rsid w:val="00E61C3A"/>
    <w:rsid w:val="00E6505F"/>
    <w:rsid w:val="00E666B9"/>
    <w:rsid w:val="00E66B57"/>
    <w:rsid w:val="00E75995"/>
    <w:rsid w:val="00E82382"/>
    <w:rsid w:val="00E8297E"/>
    <w:rsid w:val="00E84616"/>
    <w:rsid w:val="00E8611D"/>
    <w:rsid w:val="00E8631F"/>
    <w:rsid w:val="00E93370"/>
    <w:rsid w:val="00E93FAC"/>
    <w:rsid w:val="00E96744"/>
    <w:rsid w:val="00EA5601"/>
    <w:rsid w:val="00EA6022"/>
    <w:rsid w:val="00EA6A9F"/>
    <w:rsid w:val="00EA741D"/>
    <w:rsid w:val="00EB102C"/>
    <w:rsid w:val="00EB7419"/>
    <w:rsid w:val="00EB7F69"/>
    <w:rsid w:val="00ED2F6C"/>
    <w:rsid w:val="00ED43DC"/>
    <w:rsid w:val="00ED5F61"/>
    <w:rsid w:val="00EE28CB"/>
    <w:rsid w:val="00EE5136"/>
    <w:rsid w:val="00EE7705"/>
    <w:rsid w:val="00EE7903"/>
    <w:rsid w:val="00EE7910"/>
    <w:rsid w:val="00EF327C"/>
    <w:rsid w:val="00EF52E0"/>
    <w:rsid w:val="00F00216"/>
    <w:rsid w:val="00F01A97"/>
    <w:rsid w:val="00F037CE"/>
    <w:rsid w:val="00F11B3F"/>
    <w:rsid w:val="00F12D5D"/>
    <w:rsid w:val="00F12ED2"/>
    <w:rsid w:val="00F131DA"/>
    <w:rsid w:val="00F26BF2"/>
    <w:rsid w:val="00F315C7"/>
    <w:rsid w:val="00F33C2F"/>
    <w:rsid w:val="00F3779D"/>
    <w:rsid w:val="00F4104C"/>
    <w:rsid w:val="00F419AA"/>
    <w:rsid w:val="00F44A7A"/>
    <w:rsid w:val="00F47794"/>
    <w:rsid w:val="00F63888"/>
    <w:rsid w:val="00F74AA4"/>
    <w:rsid w:val="00F9084E"/>
    <w:rsid w:val="00F95FAA"/>
    <w:rsid w:val="00FA10C3"/>
    <w:rsid w:val="00FA21AF"/>
    <w:rsid w:val="00FA5368"/>
    <w:rsid w:val="00FB1B5C"/>
    <w:rsid w:val="00FB23FB"/>
    <w:rsid w:val="00FB5C29"/>
    <w:rsid w:val="00FC02FA"/>
    <w:rsid w:val="00FC4291"/>
    <w:rsid w:val="00FC5EC4"/>
    <w:rsid w:val="00FD25F4"/>
    <w:rsid w:val="00FD2A7A"/>
    <w:rsid w:val="00FD3F30"/>
    <w:rsid w:val="00FF018A"/>
    <w:rsid w:val="00FF11DE"/>
    <w:rsid w:val="00FF31AF"/>
    <w:rsid w:val="00FF3491"/>
    <w:rsid w:val="00FF39DF"/>
    <w:rsid w:val="00FF4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517E"/>
    <w:pPr>
      <w:tabs>
        <w:tab w:val="center" w:pos="4320"/>
        <w:tab w:val="right" w:pos="8640"/>
      </w:tabs>
    </w:pPr>
  </w:style>
  <w:style w:type="paragraph" w:styleId="Footer">
    <w:name w:val="footer"/>
    <w:basedOn w:val="Normal"/>
    <w:rsid w:val="00B2517E"/>
    <w:pPr>
      <w:tabs>
        <w:tab w:val="center" w:pos="4320"/>
        <w:tab w:val="right" w:pos="8640"/>
      </w:tabs>
    </w:pPr>
  </w:style>
  <w:style w:type="character" w:styleId="Hyperlink">
    <w:name w:val="Hyperlink"/>
    <w:rsid w:val="00CA7466"/>
    <w:rPr>
      <w:color w:val="0000FF"/>
      <w:u w:val="single"/>
    </w:rPr>
  </w:style>
  <w:style w:type="paragraph" w:styleId="BalloonText">
    <w:name w:val="Balloon Text"/>
    <w:basedOn w:val="Normal"/>
    <w:link w:val="BalloonTextChar"/>
    <w:rsid w:val="00D74803"/>
    <w:rPr>
      <w:rFonts w:ascii="Tahoma" w:hAnsi="Tahoma" w:cs="Tahoma"/>
      <w:sz w:val="16"/>
      <w:szCs w:val="16"/>
    </w:rPr>
  </w:style>
  <w:style w:type="character" w:customStyle="1" w:styleId="BalloonTextChar">
    <w:name w:val="Balloon Text Char"/>
    <w:link w:val="BalloonText"/>
    <w:rsid w:val="00D74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1427</Words>
  <Characters>7642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I</vt:lpstr>
    </vt:vector>
  </TitlesOfParts>
  <Company>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 </dc:creator>
  <cp:keywords/>
  <dc:description/>
  <cp:lastModifiedBy>Fdangel</cp:lastModifiedBy>
  <cp:revision>3</cp:revision>
  <cp:lastPrinted>2012-05-07T18:24:00Z</cp:lastPrinted>
  <dcterms:created xsi:type="dcterms:W3CDTF">2012-05-07T18:23:00Z</dcterms:created>
  <dcterms:modified xsi:type="dcterms:W3CDTF">2012-05-07T19:56:00Z</dcterms:modified>
</cp:coreProperties>
</file>