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5418"/>
        <w:gridCol w:w="540"/>
        <w:gridCol w:w="630"/>
        <w:gridCol w:w="2780"/>
      </w:tblGrid>
      <w:tr w:rsidR="00F43553" w:rsidRPr="0079362F" w14:paraId="67C98564" w14:textId="77777777" w:rsidTr="00B302C0">
        <w:trPr>
          <w:trHeight w:val="859"/>
          <w:jc w:val="center"/>
        </w:trPr>
        <w:tc>
          <w:tcPr>
            <w:tcW w:w="1105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D3E0" w14:textId="6C7D4497" w:rsidR="00F43553" w:rsidRDefault="00F43553" w:rsidP="00F43553">
            <w:pPr>
              <w:widowControl w:val="0"/>
              <w:autoSpaceDE w:val="0"/>
              <w:autoSpaceDN w:val="0"/>
              <w:adjustRightInd w:val="0"/>
              <w:ind w:left="283" w:right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Please use this form while conducting your course’s </w:t>
            </w:r>
            <w:proofErr w:type="spellStart"/>
            <w:r>
              <w:rPr>
                <w:i/>
                <w:sz w:val="22"/>
                <w:szCs w:val="22"/>
              </w:rPr>
              <w:t>self review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="00AC63D0">
              <w:rPr>
                <w:i/>
                <w:sz w:val="22"/>
                <w:szCs w:val="22"/>
              </w:rPr>
              <w:t xml:space="preserve">  Not su</w:t>
            </w:r>
            <w:r w:rsidR="00E1151F">
              <w:rPr>
                <w:i/>
                <w:sz w:val="22"/>
                <w:szCs w:val="22"/>
              </w:rPr>
              <w:t>re how to do that?  Please read the</w:t>
            </w:r>
            <w:r w:rsidR="00B302C0">
              <w:rPr>
                <w:i/>
                <w:sz w:val="22"/>
                <w:szCs w:val="22"/>
              </w:rPr>
              <w:t xml:space="preserve"> steps below..</w:t>
            </w:r>
            <w:r w:rsidR="00E1151F">
              <w:rPr>
                <w:i/>
                <w:sz w:val="22"/>
                <w:szCs w:val="22"/>
              </w:rPr>
              <w:t>.</w:t>
            </w:r>
          </w:p>
          <w:p w14:paraId="250AA3E3" w14:textId="77777777" w:rsidR="00F43553" w:rsidRDefault="00F43553" w:rsidP="00F43553">
            <w:pPr>
              <w:widowControl w:val="0"/>
              <w:autoSpaceDE w:val="0"/>
              <w:autoSpaceDN w:val="0"/>
              <w:adjustRightInd w:val="0"/>
              <w:ind w:left="283" w:right="275"/>
              <w:rPr>
                <w:i/>
                <w:sz w:val="22"/>
                <w:szCs w:val="22"/>
              </w:rPr>
            </w:pPr>
          </w:p>
          <w:p w14:paraId="7E4431F7" w14:textId="4690D7C8" w:rsidR="00E1151F" w:rsidRDefault="00F43553" w:rsidP="00F43553">
            <w:pPr>
              <w:widowControl w:val="0"/>
              <w:autoSpaceDE w:val="0"/>
              <w:autoSpaceDN w:val="0"/>
              <w:adjustRightInd w:val="0"/>
              <w:ind w:left="283" w:right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To complete your Essential Design Standard </w:t>
            </w:r>
            <w:r w:rsidR="00C12BCD">
              <w:rPr>
                <w:i/>
                <w:sz w:val="22"/>
                <w:szCs w:val="22"/>
              </w:rPr>
              <w:t xml:space="preserve">Self </w:t>
            </w:r>
            <w:r>
              <w:rPr>
                <w:i/>
                <w:sz w:val="22"/>
                <w:szCs w:val="22"/>
              </w:rPr>
              <w:t>Review, please</w:t>
            </w:r>
            <w:r w:rsidR="00E1151F">
              <w:rPr>
                <w:i/>
                <w:sz w:val="22"/>
                <w:szCs w:val="22"/>
              </w:rPr>
              <w:t>:</w:t>
            </w:r>
          </w:p>
          <w:p w14:paraId="126A26EA" w14:textId="77777777" w:rsidR="00E1151F" w:rsidRDefault="00E1151F" w:rsidP="00F43553">
            <w:pPr>
              <w:widowControl w:val="0"/>
              <w:autoSpaceDE w:val="0"/>
              <w:autoSpaceDN w:val="0"/>
              <w:adjustRightInd w:val="0"/>
              <w:ind w:left="283" w:right="275"/>
              <w:rPr>
                <w:i/>
                <w:sz w:val="22"/>
                <w:szCs w:val="22"/>
              </w:rPr>
            </w:pPr>
          </w:p>
          <w:p w14:paraId="4BF33C8B" w14:textId="4ABFF402" w:rsidR="00E1151F" w:rsidRDefault="00E1151F" w:rsidP="00E115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</w:t>
            </w:r>
            <w:r w:rsidR="00F43553" w:rsidRPr="00E1151F">
              <w:rPr>
                <w:i/>
                <w:sz w:val="22"/>
                <w:szCs w:val="22"/>
              </w:rPr>
              <w:t>xamine each Standard</w:t>
            </w:r>
            <w:r>
              <w:rPr>
                <w:i/>
                <w:sz w:val="22"/>
                <w:szCs w:val="22"/>
              </w:rPr>
              <w:t xml:space="preserve"> using the annotations and explanations </w:t>
            </w:r>
            <w:r w:rsidR="00B302C0">
              <w:rPr>
                <w:i/>
                <w:sz w:val="22"/>
                <w:szCs w:val="22"/>
              </w:rPr>
              <w:t>as documented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12BCD">
              <w:rPr>
                <w:i/>
                <w:sz w:val="22"/>
                <w:szCs w:val="22"/>
              </w:rPr>
              <w:t>in QM</w:t>
            </w:r>
            <w:r w:rsidR="00B302C0">
              <w:rPr>
                <w:i/>
                <w:sz w:val="22"/>
                <w:szCs w:val="22"/>
              </w:rPr>
              <w:t>’s 6</w:t>
            </w:r>
            <w:r w:rsidR="00B302C0" w:rsidRPr="00B302C0">
              <w:rPr>
                <w:i/>
                <w:sz w:val="22"/>
                <w:szCs w:val="22"/>
                <w:vertAlign w:val="superscript"/>
              </w:rPr>
              <w:t>th</w:t>
            </w:r>
            <w:r w:rsidR="00B302C0">
              <w:rPr>
                <w:i/>
                <w:sz w:val="22"/>
                <w:szCs w:val="22"/>
              </w:rPr>
              <w:t xml:space="preserve"> Edition</w:t>
            </w:r>
            <w:r w:rsidR="00FD06F2">
              <w:rPr>
                <w:i/>
                <w:sz w:val="22"/>
                <w:szCs w:val="22"/>
              </w:rPr>
              <w:t xml:space="preserve"> Rubric</w:t>
            </w:r>
          </w:p>
          <w:p w14:paraId="6EC0AECD" w14:textId="1D371679" w:rsidR="00E1151F" w:rsidRDefault="00B302C0" w:rsidP="00E115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</w:t>
            </w:r>
            <w:r w:rsidR="00F43553" w:rsidRPr="00E1151F">
              <w:rPr>
                <w:i/>
                <w:sz w:val="22"/>
                <w:szCs w:val="22"/>
              </w:rPr>
              <w:t xml:space="preserve">onsider the </w:t>
            </w:r>
            <w:r>
              <w:rPr>
                <w:i/>
                <w:sz w:val="22"/>
                <w:szCs w:val="22"/>
              </w:rPr>
              <w:t>Standards</w:t>
            </w:r>
            <w:r w:rsidR="00F43553" w:rsidRPr="00E1151F">
              <w:rPr>
                <w:i/>
                <w:sz w:val="22"/>
                <w:szCs w:val="22"/>
              </w:rPr>
              <w:t xml:space="preserve"> </w:t>
            </w:r>
            <w:r w:rsidR="00E1151F">
              <w:rPr>
                <w:i/>
                <w:sz w:val="22"/>
                <w:szCs w:val="22"/>
              </w:rPr>
              <w:t xml:space="preserve">and how they </w:t>
            </w:r>
            <w:r>
              <w:rPr>
                <w:i/>
                <w:sz w:val="22"/>
                <w:szCs w:val="22"/>
              </w:rPr>
              <w:t>were applied</w:t>
            </w:r>
            <w:r w:rsidR="00E115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</w:t>
            </w:r>
            <w:r w:rsidR="00E1151F">
              <w:rPr>
                <w:i/>
                <w:sz w:val="22"/>
                <w:szCs w:val="22"/>
              </w:rPr>
              <w:t xml:space="preserve"> your own course</w:t>
            </w:r>
            <w:r>
              <w:rPr>
                <w:i/>
                <w:sz w:val="22"/>
                <w:szCs w:val="22"/>
              </w:rPr>
              <w:t>.</w:t>
            </w:r>
          </w:p>
          <w:p w14:paraId="7C73B2E8" w14:textId="4E800218" w:rsidR="00E1151F" w:rsidRDefault="008B3A86" w:rsidP="00E115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</w:t>
            </w:r>
            <w:r w:rsidR="00E1151F">
              <w:rPr>
                <w:i/>
                <w:sz w:val="22"/>
                <w:szCs w:val="22"/>
              </w:rPr>
              <w:t>sing the annot</w:t>
            </w:r>
            <w:r>
              <w:rPr>
                <w:i/>
                <w:sz w:val="22"/>
                <w:szCs w:val="22"/>
              </w:rPr>
              <w:t>ations as a guideline</w:t>
            </w:r>
            <w:r w:rsidR="00E1151F">
              <w:rPr>
                <w:i/>
                <w:sz w:val="22"/>
                <w:szCs w:val="22"/>
              </w:rPr>
              <w:t xml:space="preserve">, </w:t>
            </w:r>
            <w:r w:rsidR="00F43553" w:rsidRPr="00E1151F">
              <w:rPr>
                <w:i/>
                <w:sz w:val="22"/>
                <w:szCs w:val="22"/>
              </w:rPr>
              <w:t>determine if you have “Met” or “Not Met”</w:t>
            </w:r>
            <w:r w:rsidR="00E1151F">
              <w:rPr>
                <w:i/>
                <w:sz w:val="22"/>
                <w:szCs w:val="22"/>
              </w:rPr>
              <w:t xml:space="preserve"> each Standard.</w:t>
            </w:r>
          </w:p>
          <w:p w14:paraId="412F27B3" w14:textId="77777777" w:rsidR="00DF4549" w:rsidRDefault="00E1151F" w:rsidP="00DF45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F43553" w:rsidRPr="00E1151F">
              <w:rPr>
                <w:i/>
                <w:sz w:val="22"/>
                <w:szCs w:val="22"/>
              </w:rPr>
              <w:t xml:space="preserve">nclude in the Comments area </w:t>
            </w:r>
            <w:r>
              <w:rPr>
                <w:i/>
                <w:sz w:val="22"/>
                <w:szCs w:val="22"/>
              </w:rPr>
              <w:t>your</w:t>
            </w:r>
            <w:r w:rsidR="00F43553" w:rsidRPr="00E1151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description</w:t>
            </w:r>
            <w:r w:rsidR="00F43553" w:rsidRPr="00E1151F">
              <w:rPr>
                <w:i/>
                <w:sz w:val="22"/>
                <w:szCs w:val="22"/>
              </w:rPr>
              <w:t xml:space="preserve"> of either how you met the Standard or how it is not yet met and what you are considering doing to meet that Standard.</w:t>
            </w:r>
            <w:r w:rsidR="00884797">
              <w:rPr>
                <w:i/>
                <w:sz w:val="22"/>
                <w:szCs w:val="22"/>
              </w:rPr>
              <w:t xml:space="preserve">  </w:t>
            </w:r>
          </w:p>
          <w:p w14:paraId="485135DB" w14:textId="70E35FA3" w:rsidR="00E1151F" w:rsidRPr="00DF4549" w:rsidRDefault="00884797" w:rsidP="00DF454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75"/>
              <w:rPr>
                <w:i/>
                <w:sz w:val="22"/>
                <w:szCs w:val="22"/>
              </w:rPr>
            </w:pPr>
            <w:r w:rsidRPr="00DF4549">
              <w:rPr>
                <w:i/>
                <w:sz w:val="22"/>
                <w:szCs w:val="22"/>
              </w:rPr>
              <w:t>(If you would like an e-copy of this form</w:t>
            </w:r>
            <w:r w:rsidR="00DF4549" w:rsidRPr="00DF4549">
              <w:rPr>
                <w:i/>
                <w:sz w:val="22"/>
                <w:szCs w:val="22"/>
              </w:rPr>
              <w:t xml:space="preserve"> so you can </w:t>
            </w:r>
            <w:r w:rsidR="00DF4549">
              <w:rPr>
                <w:i/>
                <w:sz w:val="22"/>
                <w:szCs w:val="22"/>
              </w:rPr>
              <w:t>update and make more room for your Comments</w:t>
            </w:r>
            <w:r w:rsidRPr="00DF4549">
              <w:rPr>
                <w:i/>
                <w:sz w:val="22"/>
                <w:szCs w:val="22"/>
              </w:rPr>
              <w:t>, pl</w:t>
            </w:r>
            <w:r w:rsidR="00DF4549">
              <w:rPr>
                <w:i/>
                <w:sz w:val="22"/>
                <w:szCs w:val="22"/>
              </w:rPr>
              <w:t>ease let me know!)</w:t>
            </w:r>
          </w:p>
          <w:p w14:paraId="69C71600" w14:textId="77777777" w:rsidR="00F43553" w:rsidRDefault="00F43553" w:rsidP="00F43553">
            <w:pPr>
              <w:widowControl w:val="0"/>
              <w:autoSpaceDE w:val="0"/>
              <w:autoSpaceDN w:val="0"/>
              <w:adjustRightInd w:val="0"/>
              <w:ind w:left="283" w:right="275"/>
              <w:rPr>
                <w:i/>
                <w:sz w:val="22"/>
                <w:szCs w:val="22"/>
              </w:rPr>
            </w:pPr>
          </w:p>
          <w:p w14:paraId="61430DAC" w14:textId="7079E246" w:rsidR="00F43553" w:rsidRDefault="00F43553" w:rsidP="00F43553">
            <w:pPr>
              <w:widowControl w:val="0"/>
              <w:autoSpaceDE w:val="0"/>
              <w:autoSpaceDN w:val="0"/>
              <w:adjustRightInd w:val="0"/>
              <w:ind w:left="283" w:right="275"/>
              <w:rPr>
                <w:i/>
                <w:sz w:val="22"/>
                <w:szCs w:val="22"/>
              </w:rPr>
            </w:pPr>
            <w:r w:rsidRPr="00252A52">
              <w:rPr>
                <w:i/>
                <w:sz w:val="22"/>
                <w:szCs w:val="22"/>
              </w:rPr>
              <w:t xml:space="preserve">Detailed annotations with descriptions and examples for each </w:t>
            </w:r>
            <w:r>
              <w:rPr>
                <w:i/>
                <w:sz w:val="22"/>
                <w:szCs w:val="22"/>
              </w:rPr>
              <w:t xml:space="preserve">Quality Matters (QM) </w:t>
            </w:r>
            <w:r w:rsidRPr="00252A52">
              <w:rPr>
                <w:i/>
                <w:sz w:val="22"/>
                <w:szCs w:val="22"/>
              </w:rPr>
              <w:t>Standard listed above are available through your account at QualityMatters.org</w:t>
            </w:r>
            <w:r>
              <w:rPr>
                <w:i/>
                <w:sz w:val="22"/>
                <w:szCs w:val="22"/>
              </w:rPr>
              <w:t>.  Annotations</w:t>
            </w:r>
            <w:r w:rsidRPr="00252A52">
              <w:rPr>
                <w:i/>
                <w:sz w:val="22"/>
                <w:szCs w:val="22"/>
              </w:rPr>
              <w:t xml:space="preserve"> should be used during any review in order to use this tool to best benefit</w:t>
            </w:r>
            <w:r w:rsidR="00FD06F2">
              <w:rPr>
                <w:i/>
                <w:sz w:val="22"/>
                <w:szCs w:val="22"/>
              </w:rPr>
              <w:t xml:space="preserve"> your online or hybrid course</w:t>
            </w:r>
            <w:r w:rsidRPr="00252A52">
              <w:rPr>
                <w:i/>
                <w:sz w:val="22"/>
                <w:szCs w:val="22"/>
              </w:rPr>
              <w:t>.</w:t>
            </w:r>
          </w:p>
          <w:p w14:paraId="474D3DBC" w14:textId="77777777" w:rsidR="00F43553" w:rsidRDefault="00F43553" w:rsidP="00F43553">
            <w:pPr>
              <w:widowControl w:val="0"/>
              <w:autoSpaceDE w:val="0"/>
              <w:autoSpaceDN w:val="0"/>
              <w:adjustRightInd w:val="0"/>
              <w:ind w:left="283" w:right="275"/>
              <w:rPr>
                <w:i/>
                <w:sz w:val="22"/>
                <w:szCs w:val="22"/>
              </w:rPr>
            </w:pPr>
          </w:p>
          <w:p w14:paraId="4D36123F" w14:textId="647067DC" w:rsidR="00F43553" w:rsidRPr="00252A52" w:rsidRDefault="00F43553" w:rsidP="00F43553">
            <w:pPr>
              <w:widowControl w:val="0"/>
              <w:autoSpaceDE w:val="0"/>
              <w:autoSpaceDN w:val="0"/>
              <w:adjustRightInd w:val="0"/>
              <w:ind w:left="283" w:right="275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If you need help with any aspect of your review, please contact Lindsay Henning at </w:t>
            </w:r>
            <w:r w:rsidRPr="00252A52">
              <w:rPr>
                <w:i/>
                <w:sz w:val="22"/>
                <w:szCs w:val="22"/>
              </w:rPr>
              <w:t>Lindsay.Henning@yc.edu</w:t>
            </w:r>
            <w:r>
              <w:rPr>
                <w:i/>
                <w:sz w:val="22"/>
                <w:szCs w:val="22"/>
              </w:rPr>
              <w:t>.</w:t>
            </w:r>
          </w:p>
          <w:p w14:paraId="7B257A16" w14:textId="77777777" w:rsidR="00F43553" w:rsidRPr="0079362F" w:rsidRDefault="00F43553" w:rsidP="0079362F">
            <w:pPr>
              <w:ind w:left="298"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</w:pPr>
          </w:p>
        </w:tc>
      </w:tr>
      <w:tr w:rsidR="0079362F" w:rsidRPr="006C567B" w14:paraId="6B063765" w14:textId="77777777" w:rsidTr="00663B57">
        <w:trPr>
          <w:trHeight w:val="347"/>
          <w:jc w:val="center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BBD15" w14:textId="77777777" w:rsidR="00F55F24" w:rsidRPr="006C567B" w:rsidRDefault="00F55F24" w:rsidP="0079362F">
            <w:pPr>
              <w:ind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  <w:t>Categories</w:t>
            </w:r>
          </w:p>
        </w:tc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81A7" w14:textId="771EFA0C" w:rsidR="00F55F24" w:rsidRPr="006C567B" w:rsidRDefault="0047470D" w:rsidP="0079362F">
            <w:pPr>
              <w:ind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  <w:t xml:space="preserve">Quality Matters </w:t>
            </w:r>
            <w:r w:rsidR="00F55F24" w:rsidRPr="006C567B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  <w:t>Standards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D841" w14:textId="77777777" w:rsidR="00F55F24" w:rsidRPr="006C567B" w:rsidRDefault="00F55F24" w:rsidP="0079362F">
            <w:pPr>
              <w:ind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</w:rPr>
              <w:t>Met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27BC" w14:textId="77777777" w:rsidR="00F55F24" w:rsidRPr="006C567B" w:rsidRDefault="00F55F24" w:rsidP="0079362F">
            <w:pPr>
              <w:ind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</w:rPr>
              <w:t>Not Met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0FCFD" w14:textId="77777777" w:rsidR="00F55F24" w:rsidRPr="006C567B" w:rsidRDefault="00F55F24" w:rsidP="0079362F">
            <w:pPr>
              <w:ind w:left="298"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  <w:t>Comments</w:t>
            </w:r>
          </w:p>
        </w:tc>
      </w:tr>
      <w:tr w:rsidR="0079362F" w:rsidRPr="006C567B" w14:paraId="3259D79B" w14:textId="7EE2CA91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14:paraId="1770635F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  <w:t>Course Overview Introduction</w:t>
            </w: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4DA0F167" w14:textId="084B922A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1.1 </w:t>
            </w:r>
            <w:r w:rsidR="006C567B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Pr="006C567B">
              <w:rPr>
                <w:rFonts w:ascii="Candara" w:hAnsi="Candara"/>
              </w:rPr>
              <w:t>Instructions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make clear how to get started and where to find various course components.</w:t>
            </w:r>
          </w:p>
        </w:tc>
        <w:tc>
          <w:tcPr>
            <w:tcW w:w="540" w:type="dxa"/>
            <w:vAlign w:val="center"/>
          </w:tcPr>
          <w:p w14:paraId="40EB9C10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11C03D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D822605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6D159E89" w14:textId="64F965B5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3BB13152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17BDF2BB" w14:textId="75242FD2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1.2 </w:t>
            </w:r>
            <w:r w:rsidR="006C567B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Pr="006C567B">
              <w:rPr>
                <w:rFonts w:ascii="Candara" w:hAnsi="Candara"/>
              </w:rPr>
              <w:t>Learners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are introduced to the purpose and structure of the course.</w:t>
            </w:r>
          </w:p>
        </w:tc>
        <w:tc>
          <w:tcPr>
            <w:tcW w:w="540" w:type="dxa"/>
            <w:vAlign w:val="center"/>
          </w:tcPr>
          <w:p w14:paraId="011C63E3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9EE0FC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4EBFAD11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313114EC" w14:textId="2A5F36A0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14:paraId="1CD09146" w14:textId="7563F3B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  <w:t xml:space="preserve">Learning Objectives </w:t>
            </w:r>
            <w:r w:rsidRPr="006C567B">
              <w:rPr>
                <w:rFonts w:ascii="Candara" w:eastAsia="Times New Roman" w:hAnsi="Candara" w:cs="Times New Roman"/>
                <w:bCs/>
                <w:color w:val="000000"/>
                <w:sz w:val="22"/>
                <w:szCs w:val="22"/>
              </w:rPr>
              <w:t>(</w:t>
            </w:r>
            <w:r w:rsidRPr="006C567B">
              <w:rPr>
                <w:rFonts w:ascii="Candara" w:eastAsia="Times New Roman" w:hAnsi="Candara" w:cs="Times New Roman"/>
                <w:bCs/>
                <w:i/>
                <w:color w:val="000000"/>
                <w:sz w:val="22"/>
                <w:szCs w:val="22"/>
              </w:rPr>
              <w:t>Outcomes, Competencies</w:t>
            </w:r>
            <w:r w:rsidRPr="006C567B">
              <w:rPr>
                <w:rFonts w:ascii="Candara" w:eastAsia="Times New Roman" w:hAnsi="Candara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0861F643" w14:textId="279125A4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2.1 The course learning objectives, or course/</w:t>
            </w:r>
            <w:r w:rsidRPr="006C567B">
              <w:rPr>
                <w:rFonts w:ascii="Candara" w:hAnsi="Candara"/>
              </w:rPr>
              <w:t>program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competencies, describe outcomes that are measurable.</w:t>
            </w:r>
          </w:p>
        </w:tc>
        <w:tc>
          <w:tcPr>
            <w:tcW w:w="540" w:type="dxa"/>
            <w:vAlign w:val="center"/>
          </w:tcPr>
          <w:p w14:paraId="1E0CEA32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526300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21BF5C9D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33B43C07" w14:textId="4550A743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42FC7E7F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6B8DA307" w14:textId="065DBD9A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2.2 The module/unit learning objectives or </w:t>
            </w:r>
            <w:r w:rsidRPr="006C567B">
              <w:rPr>
                <w:rFonts w:ascii="Candara" w:hAnsi="Candara"/>
              </w:rPr>
              <w:t>competencies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describe outcomes that are measurable and consistent with the course-level objectives or competencies.</w:t>
            </w:r>
          </w:p>
        </w:tc>
        <w:tc>
          <w:tcPr>
            <w:tcW w:w="540" w:type="dxa"/>
            <w:vAlign w:val="center"/>
          </w:tcPr>
          <w:p w14:paraId="2C7534E6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3909BD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422D7FF8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24588173" w14:textId="669323A2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246FB562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6C8E2619" w14:textId="2705EF8F" w:rsidR="00F55F24" w:rsidRPr="006C567B" w:rsidRDefault="00F55F24" w:rsidP="00FD06F2">
            <w:pPr>
              <w:pStyle w:val="TableStyle2"/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2.3 </w:t>
            </w:r>
            <w:r w:rsidR="00FD06F2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C17B69" w:rsidRPr="006C567B">
              <w:rPr>
                <w:rFonts w:ascii="Candara" w:eastAsia="Times New Roman" w:hAnsi="Candara" w:cs="Times New Roman"/>
                <w:sz w:val="18"/>
                <w:szCs w:val="18"/>
              </w:rPr>
              <w:t>Learning objectives or competencies are stated clearly, are written from the learner’s perspective, and are prominently located in the course.</w:t>
            </w:r>
          </w:p>
        </w:tc>
        <w:tc>
          <w:tcPr>
            <w:tcW w:w="540" w:type="dxa"/>
            <w:vAlign w:val="center"/>
          </w:tcPr>
          <w:p w14:paraId="3CD33454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E12104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35CAF630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7EA0EFE0" w14:textId="46535E56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726ACFB2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06AEE557" w14:textId="7F1901C6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2.4 The relationship between learning objectives or competencies and course activities is clearly stated.</w:t>
            </w:r>
          </w:p>
        </w:tc>
        <w:tc>
          <w:tcPr>
            <w:tcW w:w="540" w:type="dxa"/>
            <w:vAlign w:val="center"/>
          </w:tcPr>
          <w:p w14:paraId="35EDB032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A80256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0756ED5A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0FCE8EB2" w14:textId="2CDC3C96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7F1F6A32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7339E9E3" w14:textId="7D65F2E0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2.5 The learning objectives or competencies are suited to the level of the course.</w:t>
            </w:r>
          </w:p>
        </w:tc>
        <w:tc>
          <w:tcPr>
            <w:tcW w:w="540" w:type="dxa"/>
            <w:vAlign w:val="center"/>
          </w:tcPr>
          <w:p w14:paraId="187AA6C3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4841E1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180D0463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7C5C91D4" w14:textId="466DFECA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14:paraId="724E2AAB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  <w:t>Assessment and Measurement</w:t>
            </w: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3BC7D5A9" w14:textId="4B237595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3.1 </w:t>
            </w:r>
            <w:r w:rsidRPr="006C567B">
              <w:rPr>
                <w:rFonts w:ascii="Candara" w:hAnsi="Candara"/>
              </w:rPr>
              <w:t>The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assessments measure the stated learning objectives or competencies.</w:t>
            </w:r>
          </w:p>
        </w:tc>
        <w:tc>
          <w:tcPr>
            <w:tcW w:w="540" w:type="dxa"/>
            <w:vAlign w:val="center"/>
          </w:tcPr>
          <w:p w14:paraId="5488E0D1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88C0C3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04D46766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3CE3AC3F" w14:textId="638F69A0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06535F44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477A60E2" w14:textId="6CA7BE12" w:rsidR="00F55F24" w:rsidRPr="006C567B" w:rsidRDefault="00F55F24" w:rsidP="00FD06F2">
            <w:pPr>
              <w:pStyle w:val="TableStyle2"/>
              <w:ind w:left="280" w:hanging="280"/>
              <w:rPr>
                <w:rFonts w:ascii="Candara" w:eastAsia="Times New Roman" w:hAnsi="Candara" w:cs="Times New Roman"/>
                <w:sz w:val="18"/>
                <w:szCs w:val="18"/>
                <w:highlight w:val="yellow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3.2 </w:t>
            </w:r>
            <w:r w:rsidR="00400D5F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8C28CF" w:rsidRPr="006C567B">
              <w:rPr>
                <w:rFonts w:ascii="Candara" w:eastAsia="Times New Roman" w:hAnsi="Candara" w:cs="Times New Roman"/>
                <w:sz w:val="18"/>
                <w:szCs w:val="18"/>
              </w:rPr>
              <w:t>The course grading policy is stated clearly at the beginning of the course.</w:t>
            </w:r>
          </w:p>
        </w:tc>
        <w:tc>
          <w:tcPr>
            <w:tcW w:w="540" w:type="dxa"/>
            <w:vAlign w:val="center"/>
          </w:tcPr>
          <w:p w14:paraId="16896334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14D091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0FD41A76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5ABF6241" w14:textId="5707D398" w:rsidTr="00663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0553C72E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7A0CDE77" w14:textId="5A1B841A" w:rsidR="00F55F24" w:rsidRPr="006C567B" w:rsidRDefault="00F55F24" w:rsidP="00FD06F2">
            <w:pPr>
              <w:pStyle w:val="TableStyle2"/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3.3 </w:t>
            </w:r>
            <w:r w:rsidR="00400D5F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8C28CF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Specific and descriptive criteria are provided for the evaluation of learners’ work, and their connection to the course grading policy is clearly explained. </w:t>
            </w:r>
          </w:p>
        </w:tc>
        <w:tc>
          <w:tcPr>
            <w:tcW w:w="540" w:type="dxa"/>
            <w:vAlign w:val="center"/>
          </w:tcPr>
          <w:p w14:paraId="7BDCCA4C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06365E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624D46EF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</w:tbl>
    <w:p w14:paraId="39CCE9AA" w14:textId="77777777" w:rsidR="00FD06F2" w:rsidRPr="006C567B" w:rsidRDefault="00FD06F2">
      <w:pPr>
        <w:rPr>
          <w:rFonts w:ascii="Candara" w:hAnsi="Candara"/>
        </w:rPr>
      </w:pPr>
      <w:r w:rsidRPr="006C567B">
        <w:rPr>
          <w:rFonts w:ascii="Candara" w:hAnsi="Candara"/>
        </w:rPr>
        <w:br w:type="page"/>
      </w:r>
      <w:bookmarkStart w:id="0" w:name="_GoBack"/>
      <w:bookmarkEnd w:id="0"/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5418"/>
        <w:gridCol w:w="540"/>
        <w:gridCol w:w="630"/>
        <w:gridCol w:w="2780"/>
      </w:tblGrid>
      <w:tr w:rsidR="00663B57" w:rsidRPr="006C567B" w14:paraId="64F5DE63" w14:textId="77777777" w:rsidTr="00FD06F2">
        <w:trPr>
          <w:trHeight w:val="708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1BD9E805" w14:textId="6426A676" w:rsidR="00663B57" w:rsidRPr="006C567B" w:rsidRDefault="00663B57" w:rsidP="00977EBC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  <w:lastRenderedPageBreak/>
              <w:t>Categories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1A6C483" w14:textId="77777777" w:rsidR="00663B57" w:rsidRPr="006C567B" w:rsidRDefault="00663B57" w:rsidP="00977EB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28"/>
              </w:rPr>
              <w:t>Quality Matters Standards</w:t>
            </w:r>
          </w:p>
        </w:tc>
        <w:tc>
          <w:tcPr>
            <w:tcW w:w="540" w:type="dxa"/>
            <w:vAlign w:val="center"/>
          </w:tcPr>
          <w:p w14:paraId="45CD8E03" w14:textId="77777777" w:rsidR="00663B57" w:rsidRPr="006C567B" w:rsidRDefault="00663B57" w:rsidP="00977EBC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</w:rPr>
              <w:t>Met</w:t>
            </w:r>
          </w:p>
        </w:tc>
        <w:tc>
          <w:tcPr>
            <w:tcW w:w="630" w:type="dxa"/>
            <w:vAlign w:val="center"/>
          </w:tcPr>
          <w:p w14:paraId="79CDDA4F" w14:textId="77777777" w:rsidR="00663B57" w:rsidRPr="006C567B" w:rsidRDefault="00663B57" w:rsidP="00977EBC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</w:rPr>
              <w:t>Not Met</w:t>
            </w:r>
          </w:p>
        </w:tc>
        <w:tc>
          <w:tcPr>
            <w:tcW w:w="2780" w:type="dxa"/>
            <w:vAlign w:val="center"/>
          </w:tcPr>
          <w:p w14:paraId="693D0501" w14:textId="77777777" w:rsidR="00663B57" w:rsidRPr="006C567B" w:rsidRDefault="00663B57" w:rsidP="00977EBC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6C567B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</w:rPr>
              <w:t>Comments</w:t>
            </w:r>
          </w:p>
        </w:tc>
      </w:tr>
      <w:tr w:rsidR="0079362F" w:rsidRPr="006C567B" w14:paraId="63845F63" w14:textId="49A71B10" w:rsidTr="00FD06F2">
        <w:trPr>
          <w:trHeight w:val="708"/>
          <w:jc w:val="center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14:paraId="1EE9215C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  <w:t>Instructional Materials</w:t>
            </w: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70B17938" w14:textId="205AE54D" w:rsidR="00F55F24" w:rsidRPr="006C567B" w:rsidRDefault="00F55F24" w:rsidP="00FD06F2">
            <w:pPr>
              <w:pStyle w:val="TableStyle2"/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4.1</w:t>
            </w:r>
            <w:r w:rsidR="00400D5F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8C28CF" w:rsidRPr="006C567B">
              <w:rPr>
                <w:rFonts w:ascii="Candara" w:eastAsia="Times New Roman" w:hAnsi="Candara" w:cs="Times New Roman"/>
                <w:sz w:val="18"/>
                <w:szCs w:val="18"/>
              </w:rPr>
              <w:t>The instructional materials contribute to the achievement of the stated learning objectives or competencies.</w:t>
            </w:r>
          </w:p>
        </w:tc>
        <w:tc>
          <w:tcPr>
            <w:tcW w:w="540" w:type="dxa"/>
            <w:vAlign w:val="center"/>
          </w:tcPr>
          <w:p w14:paraId="071FE65E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74624F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2AC5FF4B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7BA3350A" w14:textId="08DFA8DB" w:rsidTr="00FD06F2">
        <w:trPr>
          <w:trHeight w:val="708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684C5784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53C65B23" w14:textId="0F627164" w:rsidR="00F55F24" w:rsidRPr="006C567B" w:rsidRDefault="00F55F24" w:rsidP="00FD06F2">
            <w:pPr>
              <w:pStyle w:val="TableStyle2"/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4.2 </w:t>
            </w:r>
            <w:r w:rsidR="00400D5F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8C28CF" w:rsidRPr="006C567B">
              <w:rPr>
                <w:rFonts w:ascii="Candara" w:eastAsia="Times New Roman" w:hAnsi="Candara" w:cs="Times New Roman"/>
                <w:sz w:val="18"/>
                <w:szCs w:val="18"/>
              </w:rPr>
              <w:t>The relationship between the use of instructional materials in the course and completing learning activities is clearly explained.</w:t>
            </w:r>
          </w:p>
        </w:tc>
        <w:tc>
          <w:tcPr>
            <w:tcW w:w="540" w:type="dxa"/>
            <w:vAlign w:val="center"/>
          </w:tcPr>
          <w:p w14:paraId="2D6CBCD7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5C5FAE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075D8D6A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1B840FA8" w14:textId="2B06C34C" w:rsidTr="00FD06F2">
        <w:trPr>
          <w:trHeight w:val="486"/>
          <w:jc w:val="center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14:paraId="43D5FDD4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  <w:t>Course Activities and Learner Interaction</w:t>
            </w: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03778709" w14:textId="7539FBDF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5.1 The learning activities promote the achievement of the stated learning objectives or competencies.</w:t>
            </w:r>
          </w:p>
        </w:tc>
        <w:tc>
          <w:tcPr>
            <w:tcW w:w="540" w:type="dxa"/>
            <w:vAlign w:val="center"/>
          </w:tcPr>
          <w:p w14:paraId="5EA3F135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EB0155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3D7EFF65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348A146F" w14:textId="4C1895CA" w:rsidTr="00FD06F2"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34595A07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62DF88A5" w14:textId="4C809040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5.2 </w:t>
            </w:r>
            <w:r w:rsidRPr="006C567B">
              <w:rPr>
                <w:rFonts w:ascii="Candara" w:hAnsi="Candara"/>
              </w:rPr>
              <w:t>Learning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activities provide opportunities for interaction that support active learning.</w:t>
            </w:r>
          </w:p>
        </w:tc>
        <w:tc>
          <w:tcPr>
            <w:tcW w:w="540" w:type="dxa"/>
            <w:vAlign w:val="center"/>
          </w:tcPr>
          <w:p w14:paraId="31060421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AC3F94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663746E3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4C7E7937" w14:textId="71A770DE" w:rsidTr="00FD06F2"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303EAEC8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6FC3FAEE" w14:textId="59A44E73" w:rsidR="00F55F24" w:rsidRPr="006C567B" w:rsidRDefault="00F55F24" w:rsidP="00FD06F2">
            <w:pPr>
              <w:pStyle w:val="TableStyle2"/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5.3</w:t>
            </w:r>
            <w:r w:rsidR="00400D5F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 </w:t>
            </w:r>
            <w:r w:rsidR="008C28CF" w:rsidRPr="006C567B">
              <w:rPr>
                <w:rFonts w:ascii="Candara" w:eastAsia="Times New Roman" w:hAnsi="Candara" w:cs="Times New Roman"/>
                <w:sz w:val="18"/>
                <w:szCs w:val="18"/>
              </w:rPr>
              <w:t>The instructor’s plan for interacting with learners during the course is clearly stated.</w:t>
            </w:r>
          </w:p>
        </w:tc>
        <w:tc>
          <w:tcPr>
            <w:tcW w:w="540" w:type="dxa"/>
            <w:vAlign w:val="center"/>
          </w:tcPr>
          <w:p w14:paraId="7E980383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941A65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3FA1DEE6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507510A6" w14:textId="3FF0E6E9" w:rsidTr="00FD06F2">
        <w:trPr>
          <w:trHeight w:val="486"/>
          <w:jc w:val="center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14:paraId="246618B8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  <w:t>Course Technology</w:t>
            </w: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7BCF080F" w14:textId="31237B09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6.1 The </w:t>
            </w:r>
            <w:r w:rsidRPr="006C567B">
              <w:rPr>
                <w:rFonts w:ascii="Candara" w:hAnsi="Candara"/>
              </w:rPr>
              <w:t>tools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used in the course support the learning objectives </w:t>
            </w:r>
            <w:r w:rsidR="008C28CF" w:rsidRPr="006C567B">
              <w:rPr>
                <w:rFonts w:ascii="Candara" w:eastAsia="Times New Roman" w:hAnsi="Candara" w:cs="Times New Roman"/>
                <w:sz w:val="18"/>
                <w:szCs w:val="18"/>
              </w:rPr>
              <w:t>or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competencies.</w:t>
            </w:r>
          </w:p>
        </w:tc>
        <w:tc>
          <w:tcPr>
            <w:tcW w:w="540" w:type="dxa"/>
            <w:vAlign w:val="center"/>
          </w:tcPr>
          <w:p w14:paraId="2B5D4B68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E8D53C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17D74BD1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79362F" w:rsidRPr="006C567B" w14:paraId="7D924B9C" w14:textId="39845C3B" w:rsidTr="00FD06F2"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360C8B0B" w14:textId="77777777" w:rsidR="00F55F24" w:rsidRPr="006C567B" w:rsidRDefault="00F55F24" w:rsidP="00A93FBD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1A3EFD90" w14:textId="22675FA4" w:rsidR="00F55F24" w:rsidRPr="006C567B" w:rsidRDefault="00F55F24" w:rsidP="00545F3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6.2 </w:t>
            </w:r>
            <w:r w:rsidRPr="006C567B">
              <w:rPr>
                <w:rFonts w:ascii="Candara" w:hAnsi="Candara"/>
              </w:rPr>
              <w:t>Course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tools promote learner engagement and active learning.</w:t>
            </w:r>
          </w:p>
        </w:tc>
        <w:tc>
          <w:tcPr>
            <w:tcW w:w="540" w:type="dxa"/>
            <w:vAlign w:val="center"/>
          </w:tcPr>
          <w:p w14:paraId="0D5E4946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AC2D3F" w14:textId="77777777" w:rsidR="00F55F24" w:rsidRPr="006C567B" w:rsidRDefault="00F55F24" w:rsidP="0079362F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25D30BF7" w14:textId="77777777" w:rsidR="00F55F24" w:rsidRPr="006C567B" w:rsidRDefault="00F55F24" w:rsidP="0079362F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F43553" w:rsidRPr="006C567B" w14:paraId="18475D5D" w14:textId="2C7ED5FA" w:rsidTr="00FD06F2">
        <w:trPr>
          <w:trHeight w:val="708"/>
          <w:jc w:val="center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14:paraId="297F77A9" w14:textId="42C7CEBF" w:rsidR="00F43553" w:rsidRPr="006C567B" w:rsidRDefault="00F43553" w:rsidP="00F43553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  <w:t>Learner Support</w:t>
            </w: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1A1E5248" w14:textId="72CCD2AB" w:rsidR="00F43553" w:rsidRPr="006C567B" w:rsidRDefault="00F43553" w:rsidP="00F4355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7.1 The course instructions articulate or link to a clear </w:t>
            </w:r>
            <w:r w:rsidRPr="006C567B">
              <w:rPr>
                <w:rFonts w:ascii="Candara" w:hAnsi="Candara"/>
              </w:rPr>
              <w:t>description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of the technical support offered and how to obtain it.</w:t>
            </w:r>
          </w:p>
        </w:tc>
        <w:tc>
          <w:tcPr>
            <w:tcW w:w="540" w:type="dxa"/>
            <w:vAlign w:val="center"/>
          </w:tcPr>
          <w:p w14:paraId="786E5702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309014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18E3AA18" w14:textId="77777777" w:rsidR="00F43553" w:rsidRPr="006C567B" w:rsidRDefault="00F43553" w:rsidP="00F43553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F43553" w:rsidRPr="006C567B" w14:paraId="5E810C91" w14:textId="71011F20" w:rsidTr="00FD06F2"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  <w:hideMark/>
          </w:tcPr>
          <w:p w14:paraId="04D57E06" w14:textId="77777777" w:rsidR="00F43553" w:rsidRPr="006C567B" w:rsidRDefault="00F43553" w:rsidP="00F43553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0D50595D" w14:textId="36BADDE3" w:rsidR="00F43553" w:rsidRPr="006C567B" w:rsidRDefault="00F43553" w:rsidP="00F4355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7.2 </w:t>
            </w:r>
            <w:r w:rsidRPr="006C567B">
              <w:rPr>
                <w:rFonts w:ascii="Candara" w:hAnsi="Candara"/>
              </w:rPr>
              <w:t>Course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instructions articulate or link to the institution’s accessibility policies and services.</w:t>
            </w:r>
          </w:p>
        </w:tc>
        <w:tc>
          <w:tcPr>
            <w:tcW w:w="540" w:type="dxa"/>
            <w:vAlign w:val="center"/>
          </w:tcPr>
          <w:p w14:paraId="530B4B29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273FC7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314089B" w14:textId="77777777" w:rsidR="00F43553" w:rsidRPr="006C567B" w:rsidRDefault="00F43553" w:rsidP="00F43553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F43553" w:rsidRPr="006C567B" w14:paraId="576366FA" w14:textId="77777777" w:rsidTr="00FD06F2">
        <w:trPr>
          <w:trHeight w:val="486"/>
          <w:jc w:val="center"/>
        </w:trPr>
        <w:tc>
          <w:tcPr>
            <w:tcW w:w="1689" w:type="dxa"/>
            <w:vMerge/>
            <w:shd w:val="clear" w:color="auto" w:fill="auto"/>
            <w:noWrap/>
            <w:vAlign w:val="center"/>
          </w:tcPr>
          <w:p w14:paraId="01E74AFE" w14:textId="77777777" w:rsidR="00F43553" w:rsidRPr="006C567B" w:rsidRDefault="00F43553" w:rsidP="00F43553">
            <w:pPr>
              <w:rPr>
                <w:rFonts w:ascii="Candara" w:eastAsia="Times New Roman" w:hAnsi="Candar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2134A48D" w14:textId="5431A814" w:rsidR="00F43553" w:rsidRPr="006C567B" w:rsidRDefault="00F43553" w:rsidP="00F43553">
            <w:pPr>
              <w:pStyle w:val="TableStyle2"/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7.3 Course instructions articulate or link to the institution’s academic support services and resources that can help learners succeed in the course.</w:t>
            </w:r>
            <w:r w:rsidR="00400D5F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14:paraId="7B998A7D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62E960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099FED68" w14:textId="5FCBBED7" w:rsidR="00F43553" w:rsidRPr="006C567B" w:rsidRDefault="00F43553" w:rsidP="00F76012">
            <w:pPr>
              <w:ind w:left="67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F43553" w:rsidRPr="006C567B" w14:paraId="59E820A5" w14:textId="429B176C" w:rsidTr="00FD06F2">
        <w:trPr>
          <w:trHeight w:val="486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1A5EF66" w14:textId="77777777" w:rsidR="00F43553" w:rsidRPr="006C567B" w:rsidRDefault="00F43553" w:rsidP="00F43553">
            <w:pPr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</w:pPr>
            <w:r w:rsidRPr="006C567B">
              <w:rPr>
                <w:rFonts w:ascii="Candara" w:eastAsia="Times New Roman" w:hAnsi="Candara" w:cs="Times New Roman"/>
                <w:b/>
                <w:bCs/>
                <w:color w:val="000000"/>
                <w:sz w:val="22"/>
                <w:szCs w:val="22"/>
              </w:rPr>
              <w:t>Accessibility and Usability</w:t>
            </w: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75DDD2AD" w14:textId="39DF195E" w:rsidR="00F43553" w:rsidRPr="006C567B" w:rsidRDefault="00F43553" w:rsidP="00F43553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8.1 </w:t>
            </w:r>
            <w:r w:rsidRPr="006C567B">
              <w:rPr>
                <w:rFonts w:ascii="Candara" w:hAnsi="Candara"/>
              </w:rPr>
              <w:t>Course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navigation facilitates ease of use.</w:t>
            </w:r>
          </w:p>
        </w:tc>
        <w:tc>
          <w:tcPr>
            <w:tcW w:w="540" w:type="dxa"/>
            <w:vAlign w:val="center"/>
          </w:tcPr>
          <w:p w14:paraId="423104C5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5B6D3A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52DE6067" w14:textId="77777777" w:rsidR="00F43553" w:rsidRPr="006C567B" w:rsidRDefault="00F43553" w:rsidP="00F43553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F43553" w:rsidRPr="006C567B" w14:paraId="244DCA3B" w14:textId="382524E9" w:rsidTr="00FD06F2">
        <w:trPr>
          <w:trHeight w:val="425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9394610" w14:textId="77777777" w:rsidR="00F43553" w:rsidRPr="006C567B" w:rsidRDefault="00F43553" w:rsidP="00F43553">
            <w:pPr>
              <w:ind w:right="80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vAlign w:val="center"/>
            <w:hideMark/>
          </w:tcPr>
          <w:p w14:paraId="6541B1C5" w14:textId="11614622" w:rsidR="00F43553" w:rsidRPr="006C567B" w:rsidRDefault="00F43553" w:rsidP="00FD06F2">
            <w:pPr>
              <w:pStyle w:val="TableStyle2"/>
              <w:ind w:left="280" w:hanging="280"/>
              <w:rPr>
                <w:rFonts w:ascii="Candara" w:eastAsia="Times New Roman" w:hAnsi="Candara" w:cs="Times New Roman"/>
                <w:strike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8.2 </w:t>
            </w:r>
            <w:r w:rsidR="00400D5F" w:rsidRPr="006C567B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The course design facilitates readability</w:t>
            </w:r>
          </w:p>
        </w:tc>
        <w:tc>
          <w:tcPr>
            <w:tcW w:w="540" w:type="dxa"/>
            <w:vAlign w:val="center"/>
          </w:tcPr>
          <w:p w14:paraId="68FC8396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D3E45F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0405E227" w14:textId="77777777" w:rsidR="00F43553" w:rsidRPr="006C567B" w:rsidRDefault="00F43553" w:rsidP="00F43553">
            <w:pPr>
              <w:ind w:left="298"/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</w:tr>
      <w:tr w:rsidR="00F43553" w:rsidRPr="006C567B" w14:paraId="14E0DD90" w14:textId="77777777" w:rsidTr="00FD06F2">
        <w:trPr>
          <w:trHeight w:val="449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16E15D05" w14:textId="77777777" w:rsidR="00F43553" w:rsidRPr="006C567B" w:rsidRDefault="00F43553" w:rsidP="00F43553">
            <w:pPr>
              <w:ind w:right="80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5EBA3C37" w14:textId="443252EE" w:rsidR="00F43553" w:rsidRPr="006C567B" w:rsidRDefault="00F43553" w:rsidP="00FD06F2">
            <w:pPr>
              <w:pStyle w:val="TableStyle2"/>
              <w:ind w:left="280" w:hanging="280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6C567B">
              <w:rPr>
                <w:rFonts w:ascii="Candara" w:eastAsia="Times New Roman" w:hAnsi="Candara" w:cs="Times New Roman"/>
                <w:sz w:val="18"/>
                <w:szCs w:val="18"/>
              </w:rPr>
              <w:t>8.3  The course provides accessible text and images in files, documents, LMS pages, and web pages to meet the needs of diverse learners.</w:t>
            </w:r>
          </w:p>
        </w:tc>
        <w:tc>
          <w:tcPr>
            <w:tcW w:w="540" w:type="dxa"/>
            <w:vAlign w:val="center"/>
          </w:tcPr>
          <w:p w14:paraId="29A4FB0D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3FD8DF" w14:textId="77777777" w:rsidR="00F43553" w:rsidRPr="006C567B" w:rsidRDefault="00F43553" w:rsidP="00F43553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14:paraId="616FB0DC" w14:textId="67D90B32" w:rsidR="00F43553" w:rsidRPr="006C567B" w:rsidRDefault="00F43553" w:rsidP="00FD06F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</w:tbl>
    <w:p w14:paraId="40180F74" w14:textId="3877A6B4" w:rsidR="0079362F" w:rsidRPr="00252A52" w:rsidRDefault="0079362F" w:rsidP="00314CD5">
      <w:pPr>
        <w:widowControl w:val="0"/>
        <w:autoSpaceDE w:val="0"/>
        <w:autoSpaceDN w:val="0"/>
        <w:adjustRightInd w:val="0"/>
        <w:ind w:left="-810" w:right="-810"/>
        <w:rPr>
          <w:rFonts w:ascii="Helvetica" w:hAnsi="Helvetica" w:cs="Helvetica"/>
          <w:b/>
          <w:color w:val="000000"/>
          <w:sz w:val="22"/>
          <w:szCs w:val="22"/>
        </w:rPr>
      </w:pPr>
    </w:p>
    <w:sectPr w:rsidR="0079362F" w:rsidRPr="00252A52" w:rsidSect="00252A52">
      <w:headerReference w:type="default" r:id="rId7"/>
      <w:footerReference w:type="default" r:id="rId8"/>
      <w:pgSz w:w="12240" w:h="15840"/>
      <w:pgMar w:top="1152" w:right="1440" w:bottom="720" w:left="1440" w:header="45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A9CA" w14:textId="77777777" w:rsidR="00237499" w:rsidRDefault="00237499" w:rsidP="0027201F">
      <w:r>
        <w:separator/>
      </w:r>
    </w:p>
  </w:endnote>
  <w:endnote w:type="continuationSeparator" w:id="0">
    <w:p w14:paraId="1B91F405" w14:textId="77777777" w:rsidR="00237499" w:rsidRDefault="00237499" w:rsidP="0027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CC9E" w14:textId="642627DB" w:rsidR="0079362F" w:rsidRPr="00F43553" w:rsidRDefault="00FD06F2" w:rsidP="00F43553">
    <w:pPr>
      <w:pStyle w:val="Body"/>
      <w:tabs>
        <w:tab w:val="right" w:pos="9360"/>
      </w:tabs>
      <w:rPr>
        <w:bCs/>
        <w:sz w:val="20"/>
        <w:szCs w:val="20"/>
      </w:rPr>
    </w:pPr>
    <w:r>
      <w:rPr>
        <w:bCs/>
        <w:sz w:val="20"/>
        <w:szCs w:val="20"/>
      </w:rPr>
      <w:t xml:space="preserve">Based on </w:t>
    </w:r>
    <w:r w:rsidR="00F43553" w:rsidRPr="00F43553">
      <w:rPr>
        <w:bCs/>
        <w:sz w:val="20"/>
        <w:szCs w:val="20"/>
      </w:rPr>
      <w:t>Q</w:t>
    </w:r>
    <w:r>
      <w:rPr>
        <w:bCs/>
        <w:sz w:val="20"/>
        <w:szCs w:val="20"/>
      </w:rPr>
      <w:t xml:space="preserve">uality </w:t>
    </w:r>
    <w:r w:rsidR="00F43553" w:rsidRPr="00F43553">
      <w:rPr>
        <w:bCs/>
        <w:sz w:val="20"/>
        <w:szCs w:val="20"/>
      </w:rPr>
      <w:t>M</w:t>
    </w:r>
    <w:r>
      <w:rPr>
        <w:bCs/>
        <w:sz w:val="20"/>
        <w:szCs w:val="20"/>
      </w:rPr>
      <w:t>atter</w:t>
    </w:r>
    <w:r w:rsidR="00F43553" w:rsidRPr="00F43553">
      <w:rPr>
        <w:bCs/>
        <w:sz w:val="20"/>
        <w:szCs w:val="20"/>
      </w:rPr>
      <w:t>’s</w:t>
    </w:r>
    <w:r w:rsidRPr="00FD06F2">
      <w:rPr>
        <w:bCs/>
        <w:sz w:val="20"/>
        <w:szCs w:val="20"/>
        <w:vertAlign w:val="superscript"/>
      </w:rPr>
      <w:sym w:font="Symbol" w:char="F0D3"/>
    </w:r>
    <w:r w:rsidR="00F43553" w:rsidRPr="00F43553">
      <w:rPr>
        <w:bCs/>
        <w:sz w:val="20"/>
        <w:szCs w:val="20"/>
      </w:rPr>
      <w:t xml:space="preserve"> 6</w:t>
    </w:r>
    <w:r w:rsidR="00F43553" w:rsidRPr="00F43553">
      <w:rPr>
        <w:bCs/>
        <w:sz w:val="20"/>
        <w:szCs w:val="20"/>
        <w:vertAlign w:val="superscript"/>
      </w:rPr>
      <w:t>th</w:t>
    </w:r>
    <w:r w:rsidR="00652B0B">
      <w:rPr>
        <w:bCs/>
        <w:sz w:val="20"/>
        <w:szCs w:val="20"/>
      </w:rPr>
      <w:t xml:space="preserve"> Edition</w:t>
    </w:r>
    <w:r w:rsidR="00652B0B">
      <w:rPr>
        <w:bCs/>
        <w:sz w:val="20"/>
        <w:szCs w:val="20"/>
      </w:rPr>
      <w:tab/>
      <w:t>July,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94DE" w14:textId="77777777" w:rsidR="00237499" w:rsidRDefault="00237499" w:rsidP="0027201F">
      <w:r>
        <w:separator/>
      </w:r>
    </w:p>
  </w:footnote>
  <w:footnote w:type="continuationSeparator" w:id="0">
    <w:p w14:paraId="219808A3" w14:textId="77777777" w:rsidR="00237499" w:rsidRDefault="00237499" w:rsidP="0027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4733" w14:textId="6D5C1497" w:rsidR="008C28CF" w:rsidRDefault="00D522A5" w:rsidP="0079362F">
    <w:pPr>
      <w:pStyle w:val="Body"/>
      <w:jc w:val="center"/>
      <w:rPr>
        <w:b/>
        <w:bCs/>
        <w:sz w:val="38"/>
        <w:szCs w:val="38"/>
      </w:rPr>
    </w:pPr>
    <w:proofErr w:type="spellStart"/>
    <w:r>
      <w:rPr>
        <w:b/>
        <w:bCs/>
        <w:sz w:val="38"/>
        <w:szCs w:val="38"/>
        <w:lang w:val="de-DE"/>
      </w:rPr>
      <w:t>Y</w:t>
    </w:r>
    <w:r w:rsidR="00314CD5">
      <w:rPr>
        <w:b/>
        <w:bCs/>
        <w:sz w:val="38"/>
        <w:szCs w:val="38"/>
        <w:lang w:val="de-DE"/>
      </w:rPr>
      <w:t>avapai</w:t>
    </w:r>
    <w:proofErr w:type="spellEnd"/>
    <w:r w:rsidR="00314CD5">
      <w:rPr>
        <w:b/>
        <w:bCs/>
        <w:sz w:val="38"/>
        <w:szCs w:val="38"/>
        <w:lang w:val="de-DE"/>
      </w:rPr>
      <w:t xml:space="preserve"> College Essential </w:t>
    </w:r>
    <w:r w:rsidR="0027201F">
      <w:rPr>
        <w:b/>
        <w:bCs/>
        <w:sz w:val="38"/>
        <w:szCs w:val="38"/>
        <w:lang w:val="de-DE"/>
      </w:rPr>
      <w:t>Design</w:t>
    </w:r>
    <w:r w:rsidR="0027201F">
      <w:rPr>
        <w:b/>
        <w:bCs/>
        <w:sz w:val="38"/>
        <w:szCs w:val="38"/>
      </w:rPr>
      <w:t xml:space="preserve"> Standards</w:t>
    </w:r>
  </w:p>
  <w:p w14:paraId="011E3303" w14:textId="77777777" w:rsidR="00F43553" w:rsidRDefault="00F43553" w:rsidP="00BD3F0C">
    <w:pPr>
      <w:pStyle w:val="Body"/>
      <w:tabs>
        <w:tab w:val="right" w:pos="8010"/>
      </w:tabs>
      <w:rPr>
        <w:bCs/>
        <w:i/>
        <w:sz w:val="26"/>
        <w:szCs w:val="38"/>
      </w:rPr>
    </w:pPr>
  </w:p>
  <w:p w14:paraId="08F5DAD5" w14:textId="77777777" w:rsidR="00FD06F2" w:rsidRDefault="00FD06F2" w:rsidP="00BD3F0C">
    <w:pPr>
      <w:pStyle w:val="Body"/>
      <w:tabs>
        <w:tab w:val="right" w:pos="8010"/>
      </w:tabs>
      <w:rPr>
        <w:bCs/>
        <w:i/>
        <w:sz w:val="26"/>
        <w:szCs w:val="38"/>
      </w:rPr>
    </w:pPr>
  </w:p>
  <w:p w14:paraId="1DDD7914" w14:textId="7D0AE86D" w:rsidR="00BD3F0C" w:rsidRPr="00B302C0" w:rsidRDefault="00B302C0" w:rsidP="00B302C0">
    <w:pPr>
      <w:pStyle w:val="Body"/>
      <w:pBdr>
        <w:bottom w:val="single" w:sz="4" w:space="1" w:color="auto"/>
      </w:pBdr>
      <w:tabs>
        <w:tab w:val="right" w:pos="8010"/>
      </w:tabs>
      <w:ind w:left="-810" w:right="-720"/>
      <w:rPr>
        <w:bCs/>
        <w:i/>
        <w:sz w:val="20"/>
        <w:szCs w:val="38"/>
      </w:rPr>
    </w:pPr>
    <w:r w:rsidRPr="00B302C0">
      <w:rPr>
        <w:bCs/>
        <w:i/>
        <w:sz w:val="20"/>
        <w:szCs w:val="38"/>
      </w:rPr>
      <w:t>Course Representative’s</w:t>
    </w:r>
    <w:r w:rsidR="00BD3F0C" w:rsidRPr="00B302C0">
      <w:rPr>
        <w:bCs/>
        <w:i/>
        <w:sz w:val="20"/>
        <w:szCs w:val="38"/>
      </w:rPr>
      <w:t xml:space="preserve"> Name:</w:t>
    </w:r>
    <w:r w:rsidR="00BD3F0C" w:rsidRPr="00B302C0">
      <w:rPr>
        <w:bCs/>
        <w:i/>
        <w:sz w:val="20"/>
        <w:szCs w:val="38"/>
      </w:rPr>
      <w:tab/>
      <w:t>Course Number</w:t>
    </w:r>
    <w:r w:rsidRPr="00B302C0">
      <w:rPr>
        <w:bCs/>
        <w:i/>
        <w:sz w:val="20"/>
        <w:szCs w:val="38"/>
      </w:rPr>
      <w:t>, Semester, Year</w:t>
    </w:r>
    <w:r w:rsidR="00BD3F0C" w:rsidRPr="00B302C0">
      <w:rPr>
        <w:bCs/>
        <w:i/>
        <w:sz w:val="20"/>
        <w:szCs w:val="38"/>
      </w:rPr>
      <w:t>:</w:t>
    </w:r>
    <w:r>
      <w:rPr>
        <w:bCs/>
        <w:i/>
        <w:sz w:val="20"/>
        <w:szCs w:val="38"/>
      </w:rPr>
      <w:t xml:space="preserve">  </w:t>
    </w:r>
  </w:p>
  <w:p w14:paraId="55C6DC40" w14:textId="77777777" w:rsidR="00F43553" w:rsidRDefault="00F43553" w:rsidP="00BD3F0C">
    <w:pPr>
      <w:pStyle w:val="Body"/>
      <w:tabs>
        <w:tab w:val="right" w:pos="8010"/>
      </w:tabs>
      <w:rPr>
        <w:bCs/>
        <w:i/>
        <w:sz w:val="26"/>
        <w:szCs w:val="38"/>
      </w:rPr>
    </w:pPr>
  </w:p>
  <w:p w14:paraId="61154B47" w14:textId="77777777" w:rsidR="00FD06F2" w:rsidRPr="00BD3F0C" w:rsidRDefault="00FD06F2" w:rsidP="00BD3F0C">
    <w:pPr>
      <w:pStyle w:val="Body"/>
      <w:tabs>
        <w:tab w:val="right" w:pos="8010"/>
      </w:tabs>
      <w:rPr>
        <w:bCs/>
        <w:i/>
        <w:sz w:val="26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F77"/>
    <w:multiLevelType w:val="hybridMultilevel"/>
    <w:tmpl w:val="8C342D9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74"/>
    <w:rsid w:val="0000018D"/>
    <w:rsid w:val="0000727A"/>
    <w:rsid w:val="00056F34"/>
    <w:rsid w:val="000663FD"/>
    <w:rsid w:val="00090DA0"/>
    <w:rsid w:val="00144C2F"/>
    <w:rsid w:val="001D0B97"/>
    <w:rsid w:val="001D26F8"/>
    <w:rsid w:val="00237499"/>
    <w:rsid w:val="00252A52"/>
    <w:rsid w:val="0027201F"/>
    <w:rsid w:val="002C397B"/>
    <w:rsid w:val="002D5C74"/>
    <w:rsid w:val="003014B1"/>
    <w:rsid w:val="003149C5"/>
    <w:rsid w:val="00314CD5"/>
    <w:rsid w:val="003851B5"/>
    <w:rsid w:val="00400D5F"/>
    <w:rsid w:val="00414D92"/>
    <w:rsid w:val="0047470D"/>
    <w:rsid w:val="0048595A"/>
    <w:rsid w:val="005317A2"/>
    <w:rsid w:val="00533AD3"/>
    <w:rsid w:val="00545F33"/>
    <w:rsid w:val="00557396"/>
    <w:rsid w:val="0056732E"/>
    <w:rsid w:val="005C4503"/>
    <w:rsid w:val="006009E5"/>
    <w:rsid w:val="00652B0B"/>
    <w:rsid w:val="00663B57"/>
    <w:rsid w:val="006807C9"/>
    <w:rsid w:val="006A7E65"/>
    <w:rsid w:val="006C567B"/>
    <w:rsid w:val="0079362F"/>
    <w:rsid w:val="007D0302"/>
    <w:rsid w:val="007D63B4"/>
    <w:rsid w:val="008256EB"/>
    <w:rsid w:val="00884797"/>
    <w:rsid w:val="008B3A86"/>
    <w:rsid w:val="008C28CF"/>
    <w:rsid w:val="009A73F7"/>
    <w:rsid w:val="009F1976"/>
    <w:rsid w:val="00A144AD"/>
    <w:rsid w:val="00A8198A"/>
    <w:rsid w:val="00A93FBD"/>
    <w:rsid w:val="00AA117D"/>
    <w:rsid w:val="00AA24A3"/>
    <w:rsid w:val="00AC63D0"/>
    <w:rsid w:val="00AD57C9"/>
    <w:rsid w:val="00B302C0"/>
    <w:rsid w:val="00B93C50"/>
    <w:rsid w:val="00BD3F0C"/>
    <w:rsid w:val="00BF6A93"/>
    <w:rsid w:val="00C12BCD"/>
    <w:rsid w:val="00C17B69"/>
    <w:rsid w:val="00CD6D53"/>
    <w:rsid w:val="00D40061"/>
    <w:rsid w:val="00D522A5"/>
    <w:rsid w:val="00D8773D"/>
    <w:rsid w:val="00D9576D"/>
    <w:rsid w:val="00DF4549"/>
    <w:rsid w:val="00E00031"/>
    <w:rsid w:val="00E1151F"/>
    <w:rsid w:val="00EC6AC8"/>
    <w:rsid w:val="00F43553"/>
    <w:rsid w:val="00F55F24"/>
    <w:rsid w:val="00F76012"/>
    <w:rsid w:val="00FA3DED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E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01F"/>
  </w:style>
  <w:style w:type="paragraph" w:styleId="Footer">
    <w:name w:val="footer"/>
    <w:basedOn w:val="Normal"/>
    <w:link w:val="FooterChar"/>
    <w:uiPriority w:val="99"/>
    <w:unhideWhenUsed/>
    <w:rsid w:val="00272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1F"/>
  </w:style>
  <w:style w:type="paragraph" w:customStyle="1" w:styleId="Body">
    <w:name w:val="Body"/>
    <w:rsid w:val="002720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1F"/>
    <w:rPr>
      <w:rFonts w:ascii="Times New Roman" w:hAnsi="Times New Roman" w:cs="Times New Roman"/>
      <w:sz w:val="18"/>
      <w:szCs w:val="18"/>
    </w:rPr>
  </w:style>
  <w:style w:type="paragraph" w:customStyle="1" w:styleId="TableStyle2">
    <w:name w:val="Table Style 2"/>
    <w:rsid w:val="00F55F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252A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Henning</dc:creator>
  <cp:lastModifiedBy>Lindsay Henning</cp:lastModifiedBy>
  <cp:revision>3</cp:revision>
  <cp:lastPrinted>2017-10-20T14:56:00Z</cp:lastPrinted>
  <dcterms:created xsi:type="dcterms:W3CDTF">2018-07-17T16:04:00Z</dcterms:created>
  <dcterms:modified xsi:type="dcterms:W3CDTF">2018-07-17T16:16:00Z</dcterms:modified>
</cp:coreProperties>
</file>